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2C" w:rsidRPr="00756BCD" w:rsidRDefault="00D3492C" w:rsidP="00D3492C">
      <w:pPr>
        <w:spacing w:after="120"/>
        <w:jc w:val="right"/>
        <w:rPr>
          <w:rFonts w:ascii="Myriad Pro Light SemiExt" w:eastAsia="Calibri" w:hAnsi="Myriad Pro Light SemiExt" w:cs="Arial"/>
          <w:i/>
          <w:sz w:val="24"/>
          <w:szCs w:val="24"/>
        </w:rPr>
      </w:pPr>
      <w:bookmarkStart w:id="0" w:name="_Toc422226215"/>
      <w:bookmarkStart w:id="1" w:name="_Toc423691867"/>
      <w:bookmarkStart w:id="2" w:name="_Toc423693497"/>
      <w:bookmarkStart w:id="3" w:name="_Toc423693575"/>
      <w:bookmarkStart w:id="4" w:name="_Toc424115963"/>
      <w:bookmarkStart w:id="5" w:name="_Toc424129438"/>
      <w:bookmarkStart w:id="6" w:name="_Toc425507795"/>
      <w:bookmarkStart w:id="7" w:name="_Toc425513160"/>
      <w:bookmarkStart w:id="8" w:name="_Toc425513206"/>
      <w:bookmarkStart w:id="9" w:name="_Toc425977500"/>
      <w:bookmarkStart w:id="10" w:name="_Toc436141419"/>
      <w:bookmarkStart w:id="11" w:name="_Toc436141737"/>
      <w:bookmarkStart w:id="12" w:name="_Toc436142765"/>
      <w:bookmarkStart w:id="13" w:name="_Toc436143308"/>
      <w:bookmarkStart w:id="14" w:name="_Toc436143645"/>
      <w:bookmarkStart w:id="15" w:name="_Toc436204381"/>
      <w:bookmarkStart w:id="16" w:name="_Toc436210779"/>
      <w:bookmarkStart w:id="17" w:name="_Toc436226037"/>
      <w:bookmarkStart w:id="18" w:name="_Toc436227770"/>
      <w:bookmarkStart w:id="19" w:name="_Toc436141420"/>
      <w:bookmarkStart w:id="20" w:name="_Toc436141738"/>
      <w:bookmarkStart w:id="21" w:name="_Toc436142766"/>
      <w:bookmarkStart w:id="22" w:name="_Toc436143309"/>
      <w:bookmarkStart w:id="23" w:name="_Toc436143646"/>
      <w:bookmarkStart w:id="24" w:name="_Toc436204382"/>
      <w:bookmarkStart w:id="25" w:name="_Toc436210780"/>
      <w:bookmarkStart w:id="26" w:name="_Toc436226038"/>
      <w:bookmarkStart w:id="27" w:name="_Toc436227771"/>
      <w:bookmarkStart w:id="28" w:name="_Toc436141421"/>
      <w:bookmarkStart w:id="29" w:name="_Toc436141739"/>
      <w:bookmarkStart w:id="30" w:name="_Toc436142767"/>
      <w:bookmarkStart w:id="31" w:name="_Toc436143310"/>
      <w:bookmarkStart w:id="32" w:name="_Toc436143647"/>
      <w:bookmarkStart w:id="33" w:name="_Toc436204383"/>
      <w:bookmarkStart w:id="34" w:name="_Toc436210781"/>
      <w:bookmarkStart w:id="35" w:name="_Toc436226039"/>
      <w:bookmarkStart w:id="36" w:name="_Toc436227772"/>
      <w:bookmarkStart w:id="37" w:name="_Toc436141422"/>
      <w:bookmarkStart w:id="38" w:name="_Toc436141740"/>
      <w:bookmarkStart w:id="39" w:name="_Toc436142768"/>
      <w:bookmarkStart w:id="40" w:name="_Toc436143311"/>
      <w:bookmarkStart w:id="41" w:name="_Toc436143648"/>
      <w:bookmarkStart w:id="42" w:name="_Toc436204384"/>
      <w:bookmarkStart w:id="43" w:name="_Toc436210782"/>
      <w:bookmarkStart w:id="44" w:name="_Toc436226040"/>
      <w:bookmarkStart w:id="45" w:name="_Toc436227773"/>
      <w:bookmarkStart w:id="46" w:name="_Toc436141423"/>
      <w:bookmarkStart w:id="47" w:name="_Toc436141741"/>
      <w:bookmarkStart w:id="48" w:name="_Toc436142769"/>
      <w:bookmarkStart w:id="49" w:name="_Toc436143312"/>
      <w:bookmarkStart w:id="50" w:name="_Toc436143649"/>
      <w:bookmarkStart w:id="51" w:name="_Toc436204385"/>
      <w:bookmarkStart w:id="52" w:name="_Toc436210783"/>
      <w:bookmarkStart w:id="53" w:name="_Toc436226041"/>
      <w:bookmarkStart w:id="54" w:name="_Toc436227774"/>
      <w:bookmarkStart w:id="55" w:name="_Toc436141424"/>
      <w:bookmarkStart w:id="56" w:name="_Toc436141742"/>
      <w:bookmarkStart w:id="57" w:name="_Toc436142770"/>
      <w:bookmarkStart w:id="58" w:name="_Toc436143313"/>
      <w:bookmarkStart w:id="59" w:name="_Toc436143650"/>
      <w:bookmarkStart w:id="60" w:name="_Toc436204386"/>
      <w:bookmarkStart w:id="61" w:name="_Toc436210784"/>
      <w:bookmarkStart w:id="62" w:name="_Toc436226042"/>
      <w:bookmarkStart w:id="63" w:name="_Toc436227775"/>
      <w:bookmarkStart w:id="64" w:name="_Toc299442637"/>
      <w:bookmarkStart w:id="65" w:name="_Toc299443192"/>
      <w:bookmarkStart w:id="66" w:name="_Toc299443682"/>
      <w:bookmarkStart w:id="67" w:name="_Toc299442638"/>
      <w:bookmarkStart w:id="68" w:name="_Toc299443193"/>
      <w:bookmarkStart w:id="69" w:name="_Toc299443683"/>
      <w:bookmarkStart w:id="70" w:name="_Toc454374498"/>
      <w:bookmarkStart w:id="71" w:name="_Toc454376195"/>
      <w:bookmarkStart w:id="72" w:name="_Toc454374508"/>
      <w:bookmarkStart w:id="73" w:name="_Toc454376205"/>
      <w:bookmarkStart w:id="74" w:name="_Toc454374511"/>
      <w:bookmarkStart w:id="75" w:name="_Toc454376208"/>
      <w:bookmarkStart w:id="76" w:name="_Toc454374513"/>
      <w:bookmarkStart w:id="77" w:name="_Toc454376210"/>
      <w:bookmarkStart w:id="78" w:name="_Toc436141512"/>
      <w:bookmarkStart w:id="79" w:name="_Toc436141830"/>
      <w:bookmarkStart w:id="80" w:name="_Toc436142858"/>
      <w:bookmarkStart w:id="81" w:name="_Toc436143401"/>
      <w:bookmarkStart w:id="82" w:name="_Toc436143738"/>
      <w:bookmarkStart w:id="83" w:name="_Toc436204466"/>
      <w:bookmarkStart w:id="84" w:name="_Toc454202122"/>
      <w:bookmarkStart w:id="85" w:name="_Toc454202426"/>
      <w:bookmarkStart w:id="86" w:name="_Toc454350263"/>
      <w:bookmarkStart w:id="87" w:name="_Toc454374538"/>
      <w:bookmarkStart w:id="88" w:name="_Toc454376235"/>
      <w:bookmarkStart w:id="89" w:name="_Toc454202123"/>
      <w:bookmarkStart w:id="90" w:name="_Toc454202427"/>
      <w:bookmarkStart w:id="91" w:name="_Toc454350264"/>
      <w:bookmarkStart w:id="92" w:name="_Toc454374539"/>
      <w:bookmarkStart w:id="93" w:name="_Toc454376236"/>
      <w:bookmarkStart w:id="94" w:name="_Toc454202124"/>
      <w:bookmarkStart w:id="95" w:name="_Toc454202428"/>
      <w:bookmarkStart w:id="96" w:name="_Toc454350265"/>
      <w:bookmarkStart w:id="97" w:name="_Toc454374540"/>
      <w:bookmarkStart w:id="98" w:name="_Toc454376237"/>
      <w:bookmarkStart w:id="99" w:name="_Toc436141515"/>
      <w:bookmarkStart w:id="100" w:name="_Toc436141833"/>
      <w:bookmarkStart w:id="101" w:name="_Toc436142861"/>
      <w:bookmarkStart w:id="102" w:name="_Toc436143404"/>
      <w:bookmarkStart w:id="103" w:name="_Toc436143741"/>
      <w:bookmarkStart w:id="104" w:name="_Toc436204469"/>
      <w:bookmarkStart w:id="105" w:name="_Toc436210863"/>
      <w:bookmarkStart w:id="106" w:name="_Toc436226121"/>
      <w:bookmarkStart w:id="107" w:name="_Toc436227854"/>
      <w:bookmarkStart w:id="108" w:name="_Toc436141519"/>
      <w:bookmarkStart w:id="109" w:name="_Toc436141837"/>
      <w:bookmarkStart w:id="110" w:name="_Toc436142865"/>
      <w:bookmarkStart w:id="111" w:name="_Toc436143408"/>
      <w:bookmarkStart w:id="112" w:name="_Toc436143745"/>
      <w:bookmarkStart w:id="113" w:name="_Toc436204473"/>
      <w:bookmarkStart w:id="114" w:name="_Toc436210867"/>
      <w:bookmarkStart w:id="115" w:name="_Toc436226125"/>
      <w:bookmarkStart w:id="116" w:name="_Toc436227858"/>
      <w:bookmarkStart w:id="117" w:name="_Toc436141523"/>
      <w:bookmarkStart w:id="118" w:name="_Toc436141841"/>
      <w:bookmarkStart w:id="119" w:name="_Toc436142869"/>
      <w:bookmarkStart w:id="120" w:name="_Toc436143412"/>
      <w:bookmarkStart w:id="121" w:name="_Toc436143749"/>
      <w:bookmarkStart w:id="122" w:name="_Toc436204477"/>
      <w:bookmarkStart w:id="123" w:name="_Toc436210871"/>
      <w:bookmarkStart w:id="124" w:name="_Toc436226129"/>
      <w:bookmarkStart w:id="125" w:name="_Toc436227862"/>
      <w:bookmarkStart w:id="126" w:name="_Toc436141530"/>
      <w:bookmarkStart w:id="127" w:name="_Toc436141848"/>
      <w:bookmarkStart w:id="128" w:name="_Toc436142876"/>
      <w:bookmarkStart w:id="129" w:name="_Toc436143419"/>
      <w:bookmarkStart w:id="130" w:name="_Toc436143756"/>
      <w:bookmarkStart w:id="131" w:name="_Toc436204484"/>
      <w:bookmarkStart w:id="132" w:name="_Toc436210878"/>
      <w:bookmarkStart w:id="133" w:name="_Toc436226136"/>
      <w:bookmarkStart w:id="134" w:name="_Toc436227869"/>
      <w:bookmarkStart w:id="135" w:name="_Toc299442697"/>
      <w:bookmarkStart w:id="136" w:name="_Toc299442698"/>
      <w:bookmarkStart w:id="137" w:name="_Toc308433241"/>
      <w:bookmarkStart w:id="138" w:name="_Toc308436607"/>
      <w:bookmarkStart w:id="139" w:name="_Toc308433242"/>
      <w:bookmarkStart w:id="140" w:name="_Toc308436608"/>
      <w:bookmarkStart w:id="141" w:name="_Toc308433243"/>
      <w:bookmarkStart w:id="142" w:name="_Toc308436609"/>
      <w:bookmarkStart w:id="143" w:name="_Toc308433244"/>
      <w:bookmarkStart w:id="144" w:name="_Toc308436610"/>
      <w:bookmarkStart w:id="145" w:name="_Toc308433245"/>
      <w:bookmarkStart w:id="146" w:name="_Toc308436611"/>
      <w:bookmarkStart w:id="147" w:name="_Toc436381052"/>
      <w:bookmarkStart w:id="148" w:name="_Toc436387722"/>
      <w:bookmarkStart w:id="149" w:name="_Toc446323004"/>
      <w:bookmarkStart w:id="150" w:name="_Toc446335023"/>
      <w:bookmarkStart w:id="151" w:name="_Toc446497207"/>
      <w:bookmarkStart w:id="152" w:name="_Toc446497445"/>
      <w:bookmarkStart w:id="153" w:name="_Toc436141433"/>
      <w:bookmarkStart w:id="154" w:name="_Toc436141751"/>
      <w:bookmarkStart w:id="155" w:name="_Toc436142779"/>
      <w:bookmarkStart w:id="156" w:name="_Toc436143322"/>
      <w:bookmarkStart w:id="157" w:name="_Toc436143659"/>
      <w:bookmarkStart w:id="158" w:name="_Toc436204395"/>
      <w:bookmarkStart w:id="159" w:name="_Toc436210793"/>
      <w:bookmarkStart w:id="160" w:name="_Toc436226051"/>
      <w:bookmarkStart w:id="161" w:name="_Toc436227784"/>
      <w:bookmarkStart w:id="162" w:name="_Toc451855553"/>
      <w:bookmarkStart w:id="163" w:name="_Toc451858270"/>
      <w:bookmarkStart w:id="164" w:name="_Toc451858784"/>
      <w:bookmarkStart w:id="165" w:name="_Toc46690337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 w:rsidRPr="00756BCD">
        <w:rPr>
          <w:rFonts w:ascii="Myriad Pro Light SemiExt" w:eastAsia="Calibri" w:hAnsi="Myriad Pro Light SemiExt" w:cs="Arial"/>
          <w:i/>
          <w:sz w:val="24"/>
          <w:szCs w:val="24"/>
        </w:rPr>
        <w:t xml:space="preserve">Załącznik nr 1 do OPZ </w:t>
      </w:r>
    </w:p>
    <w:bookmarkEnd w:id="162"/>
    <w:bookmarkEnd w:id="163"/>
    <w:bookmarkEnd w:id="164"/>
    <w:bookmarkEnd w:id="165"/>
    <w:p w:rsidR="00D3492C" w:rsidRPr="00756BCD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357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 w:rsidRPr="00756BCD"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>Wymagane dane techniczne elementów Stanowiska/Stanowiska</w:t>
      </w:r>
    </w:p>
    <w:p w:rsidR="00D3492C" w:rsidRPr="005F5F6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Opis dotyczy poszczególnych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Zadań i C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zęści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,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 których mowa w punkcie </w:t>
      </w:r>
      <w:r w:rsidR="000409AF"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>4.1</w:t>
      </w:r>
      <w:r>
        <w:rPr>
          <w:rFonts w:ascii="Myriad Pro Light SemiExt" w:eastAsia="Times New Roman" w:hAnsi="Myriad Pro Light SemiExt" w:cs="Arial"/>
          <w:sz w:val="24"/>
          <w:szCs w:val="24"/>
          <w:lang w:eastAsia="pl-PL"/>
        </w:rPr>
        <w:t xml:space="preserve"> OPZ</w:t>
      </w:r>
    </w:p>
    <w:p w:rsidR="005F5F6F" w:rsidRDefault="005F5F6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0409AF" w:rsidRDefault="000409AF" w:rsidP="00990DE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  <w:r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  <w:t xml:space="preserve">Zadanie nr 1 </w:t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– opracowanie dokumentacji projektowej stanowiska do bezodbiciowego badania pól elektromagnetycznych od urządzeń i systemów techniki morskiej wraz z dostawą, montażem, uruchomieniem stanowiska </w:t>
      </w:r>
      <w:r w:rsidR="00712430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 xml:space="preserve">i pełnieniem nadzoru autorskiego. Zadanie nr 1 obejmuje swoim zakresem </w:t>
      </w:r>
      <w:r w:rsidR="00712430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br/>
      </w:r>
      <w:r w:rsidRPr="000409AF">
        <w:rPr>
          <w:rFonts w:ascii="Myriad Pro Light SemiExt" w:eastAsia="Times New Roman" w:hAnsi="Myriad Pro Light SemiExt" w:cs="Arial"/>
          <w:b/>
          <w:bCs/>
          <w:sz w:val="24"/>
          <w:szCs w:val="24"/>
          <w:lang w:eastAsia="pl-PL"/>
        </w:rPr>
        <w:t>3(trzy) części, tj.:</w:t>
      </w:r>
    </w:p>
    <w:p w:rsidR="000409AF" w:rsidRPr="00756BCD" w:rsidRDefault="000409AF" w:rsidP="005F5F6F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Myriad Pro Light SemiExt" w:eastAsia="Times New Roman" w:hAnsi="Myriad Pro Light SemiExt" w:cs="Arial"/>
          <w:b/>
          <w:sz w:val="24"/>
          <w:szCs w:val="24"/>
          <w:lang w:eastAsia="pl-PL"/>
        </w:rPr>
      </w:pPr>
    </w:p>
    <w:p w:rsidR="00D3492C" w:rsidRPr="0052233C" w:rsidRDefault="0052233C" w:rsidP="005F5F6F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>Część 1 -&gt;</w:t>
      </w:r>
      <w:r w:rsidR="005F5F6F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Komora </w:t>
      </w:r>
      <w:proofErr w:type="spellStart"/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semi-bezodbiciowa</w:t>
      </w:r>
      <w:proofErr w:type="spellEnd"/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(SAC 10M) wraz z</w:t>
      </w:r>
      <w:r w:rsidR="005F5F6F" w:rsidRPr="0052233C">
        <w:rPr>
          <w:rFonts w:ascii="Myriad Pro Light SemiExt" w:eastAsia="Calibri" w:hAnsi="Myriad Pro Light SemiExt" w:cs="Arial"/>
          <w:b/>
          <w:sz w:val="24"/>
          <w:szCs w:val="24"/>
        </w:rPr>
        <w:t>e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 zbiornikiem pomiarowym: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1985"/>
        <w:gridCol w:w="6804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Typ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komora </w:t>
            </w:r>
            <w:proofErr w:type="spellStart"/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semi-bezodbiciowa</w:t>
            </w:r>
            <w:proofErr w:type="spellEnd"/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(SAC 10M) przeznaczona do  pomiarów emisji oraz testów odporności,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- 10m pole pomiarowe do pomiarów wg</w:t>
            </w:r>
            <w:r w:rsidR="00D07EE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D07EE7" w:rsidRPr="00D07EE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aktualnych norm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EN 55016/CISPR 16, EN 55032/CISPR 32,</w:t>
            </w:r>
          </w:p>
          <w:p w:rsidR="00D3492C" w:rsidRPr="00B31250" w:rsidRDefault="00D3492C" w:rsidP="002645FA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pomiaru emisji wg MIL-STD-461 F/G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oraz</w:t>
            </w:r>
            <w:proofErr w:type="spellEnd"/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NO-06-A200/A500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odporności promieniowanej wg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aktualnej normy 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EN 61000-4-3,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-Komora przystosowana do pomiarów odporności promieniowanej wg  MIL-STD-461 F/G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NO-06-A200/A500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komora przystosowana do pomiarów testów odporności na impulsy NEMP zgodnie z MIL-STD-461/RS105,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przylegające pomieszczenie do zainstalowania wzmacniaczy oraz do monitoringu i sterowania pomiarami (AR/CR).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Zakres badanych urządzeń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Urządzenia: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elektryczne,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elektroniczne,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telekomunikacyjne,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zasilane z sieci jedno lub trójfazowej, 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urządzenia zasilane bateryjnie,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urządzeni</w:t>
            </w:r>
            <w:r w:rsidR="00B31250"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a pracujące w środowisku wodnym,</w:t>
            </w:r>
          </w:p>
          <w:p w:rsidR="00B31250" w:rsidRPr="00B31250" w:rsidRDefault="00B31250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hAnsi="Myriad Pro Light SemiExt" w:cs="Arial"/>
                <w:sz w:val="20"/>
                <w:szCs w:val="20"/>
              </w:rPr>
              <w:t>urządzenia wydzielające spaliny, ciepło i gazy.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emisji)</w:t>
            </w:r>
          </w:p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10kHz do 40GHz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55016/CISPR 16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55025/CISPR 25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60945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61000-6-3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61000-6-4</w:t>
            </w:r>
          </w:p>
        </w:tc>
      </w:tr>
      <w:tr w:rsidR="00D3492C" w:rsidRPr="000B5CA8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Zgodność komory ze standardami (w zakresie pomiaru odporności promieniowanej)</w:t>
            </w:r>
          </w:p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Częstotliwość  pomiarowa od 2MHz do 40GHz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61000-4-3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61000-6-1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61000-6-2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EN  55035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IEC 60533</w:t>
            </w:r>
          </w:p>
          <w:p w:rsidR="00D3492C" w:rsidRPr="00B31250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MIL-STD 461G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Gabaryty komory (zewnętrzne, uwzględniające konstrukcję wsporczą – długość x szerokość x wysokość)  - bez pomieszczenia AR/CR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EF0A1B" w:rsidRDefault="00C126FB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max wymiary</w:t>
            </w:r>
            <w:r w:rsidR="0017379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173796" w:rsidRPr="00173796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(zewnętrzny wymiar ekranu</w:t>
            </w:r>
            <w:r w:rsidR="00FD1EF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)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: </w:t>
            </w:r>
            <w:r w:rsidR="00FD1EF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22</w:t>
            </w:r>
            <w:r w:rsidR="00EB6D5C" w:rsidRPr="00FD1EF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m</w:t>
            </w:r>
            <w:r w:rsidR="00EB6D5C" w:rsidRPr="00EB6D5C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x 13,0m x 9</w:t>
            </w:r>
            <w:r w:rsidR="004D3996" w:rsidRPr="00EB6D5C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m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</w:t>
            </w:r>
            <w:r w:rsidR="00EF0A1B" w:rsidRPr="008D6C4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FD1EFF">
              <w:rPr>
                <w:rFonts w:ascii="Myriad Pro Light SemiExt" w:eastAsia="Calibri" w:hAnsi="Myriad Pro Light SemiExt" w:cs="Arial"/>
                <w:sz w:val="20"/>
                <w:szCs w:val="20"/>
              </w:rPr>
              <w:t>wynikający</w:t>
            </w:r>
            <w:r w:rsidR="00EF0A1B" w:rsidRPr="00EF0A1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projektu dla zadania „</w:t>
            </w:r>
            <w:r w:rsidR="00EF0A1B" w:rsidRPr="00EF0A1B">
              <w:rPr>
                <w:rFonts w:ascii="Myriad Pro Light SemiExt" w:hAnsi="Myriad Pro Light SemiExt" w:cs="Arial"/>
                <w:sz w:val="20"/>
                <w:szCs w:val="20"/>
              </w:rPr>
              <w:t xml:space="preserve">Budowa </w:t>
            </w:r>
            <w:r w:rsidR="00EF0A1B" w:rsidRPr="00EF0A1B">
              <w:rPr>
                <w:rFonts w:ascii="Myriad Pro Light SemiExt" w:hAnsi="Myriad Pro Light SemiExt" w:cs="Arial"/>
                <w:color w:val="000000"/>
                <w:sz w:val="20"/>
                <w:szCs w:val="20"/>
              </w:rPr>
              <w:t xml:space="preserve">hali laboratoryjnej i stanowiska </w:t>
            </w:r>
            <w:r w:rsidR="00EF0A1B" w:rsidRPr="00EF0A1B">
              <w:rPr>
                <w:rFonts w:ascii="Myriad Pro Light SemiExt" w:hAnsi="Myriad Pro Light SemiExt" w:cs="Arial"/>
                <w:sz w:val="20"/>
                <w:szCs w:val="20"/>
              </w:rPr>
              <w:t>do badań pól magnetycznych wraz z niezbędną infrastrukturą techniczną”</w:t>
            </w:r>
            <w:r w:rsidR="00EF0A1B">
              <w:rPr>
                <w:rFonts w:ascii="Myriad Pro Light SemiExt" w:hAnsi="Myriad Pro Light SemiExt" w:cs="Arial"/>
                <w:sz w:val="20"/>
                <w:szCs w:val="20"/>
              </w:rPr>
              <w:t xml:space="preserve">. </w:t>
            </w:r>
            <w:r w:rsidR="00FD1EFF">
              <w:rPr>
                <w:rFonts w:ascii="Myriad Pro Light SemiExt" w:hAnsi="Myriad Pro Light SemiExt" w:cs="Arial"/>
                <w:sz w:val="20"/>
                <w:szCs w:val="20"/>
              </w:rPr>
              <w:t xml:space="preserve">Dopuszcza się </w:t>
            </w:r>
            <w:r w:rsidR="0098104F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FD1EFF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FD1EFF">
              <w:rPr>
                <w:rFonts w:ascii="Myriad Pro Light SemiExt" w:eastAsia="Calibri" w:hAnsi="Myriad Pro Light SemiExt" w:cs="Arial"/>
                <w:sz w:val="20"/>
                <w:szCs w:val="20"/>
              </w:rPr>
              <w:t>tolerancję</w:t>
            </w:r>
            <w:r w:rsidR="00FD1EFF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98104F" w:rsidRPr="0098104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zewnętrznego wymiaru ekranu </w:t>
            </w:r>
            <w:r w:rsidR="00FD1EFF" w:rsidRPr="0098104F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do - 7 %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B31250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Stalowa konstrukcja wsporcza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niezależna od konstrukcji budynku,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zgodna z PN-EN 1090,</w:t>
            </w:r>
          </w:p>
          <w:p w:rsidR="00D3492C" w:rsidRPr="00B31250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B31250">
              <w:rPr>
                <w:rFonts w:ascii="Myriad Pro Light SemiExt" w:eastAsia="Calibri" w:hAnsi="Myriad Pro Light SemiExt" w:cs="Arial"/>
                <w:sz w:val="20"/>
                <w:szCs w:val="20"/>
              </w:rPr>
              <w:t>- oznakowanie CE.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Konstrukcja i parametry ekranu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konstrukcja wykonana ze stalowych paneli obustronnie cynkowanych i zabezpieczonych antykorozyjnie,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Podłoga  w komorze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</w:t>
            </w:r>
            <w:r w:rsidR="00A553B3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odniesiona do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50cm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(poziom podłogi w komorze </w:t>
            </w:r>
            <w:r w:rsidR="00EB6DB8" w:rsidRPr="00EB6DB8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na poziomie</w:t>
            </w:r>
            <w:r w:rsidR="00B33021" w:rsidRPr="00EB6DB8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>posadzki laboratorium</w:t>
            </w:r>
            <w:r w:rsidR="00EB6DB8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EB6DB8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z uwzględnieniem możliwości zamknięcia drzwi do komory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). Wysokość podniesienia musi umożliwiać zabudowę infrastruktur kablowej i silnika stołu obrotowego znajdujących się pod ww. 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musi stanowić metaliczną płaszczyznę,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podłogi min 5 000 kg/m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w  paśmie stołu pomiarowego oraz od drzwi głównych do stołu w pozostałych miejscach 2 000  kg/m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>2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pod podłogą podniesioną należy  rozprowadzić niezbędną infrastrukturę i okablowanie, przy czym należy zapewnić możliwość zmian w okablowaniu bez konieczności demontażu podłogi np. poprzez ułożenie okablowania w duktach lub rurach do których końców będzie zapewniony dostęp. Ułożenie przewodów w wykonaniu TEMPEST.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Instalacja oświetleniowa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min. 300 lx nad stołem pomiarowym,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min. 150 lx w pozostałych obszarach komory,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współczynnik oddawania barw zastosowanych źródeł światła Ra≥0,75,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nie może stanowić źródła emisji elektromagnetycznej (nie może zakłócać pomiarów emisji urządzeń -wg standardu TEMPEST) – źródła światła wykonane w technologii halogenowej,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przewody oświetlenia wykonane wg. standardu TEMPEST,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dwusekcyjny włącznik światła od wewnątrz,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nad drzwiami z podtrzymaniem bateryjnym,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 12 sztuk lamp halogenowych, 750W/punkt.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Uziemienie komory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-Uziemienie komory wykonane w standardzie TEMPEST,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-Wymagana rezystancja minimum 0,25Ω,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-Dostęp do miejsca pomiaru rezystancji w celu, okresowego pomiaru rezystancji.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Drzwi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1-skrzydłowe jedno-nożowe,  skrzydłowe półautomatyczne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o wymiarach: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1m ÷1,2m – szerokość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2m ÷ 2,2m – wysokość</w:t>
            </w:r>
          </w:p>
          <w:p w:rsidR="00D3492C" w:rsidRPr="0097383C" w:rsidRDefault="00B33021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system kontroli otwartych drzwi</w:t>
            </w:r>
            <w:r w:rsidR="00D3492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  który umożliwi integrację ze wzmacniaczami w pomieszczeniu AR/CR i ich wyłączenie w przypadku ot</w:t>
            </w: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warcia drzwi. Przewody sygnału kontroli otwartych drzwi</w:t>
            </w:r>
            <w:r w:rsidR="00D3492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2-skrzydłowe ekranowane półautomatyczne dwuskrzydłowe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o wymiarach:</w:t>
            </w:r>
          </w:p>
          <w:p w:rsidR="00D3492C" w:rsidRPr="00685E27" w:rsidRDefault="00685E27" w:rsidP="00D3492C">
            <w:pPr>
              <w:spacing w:before="120" w:after="120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 w:rsidRPr="00685E2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3</w:t>
            </w:r>
            <w:r w:rsidR="00D3492C" w:rsidRPr="00685E2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m</w:t>
            </w:r>
            <w:r w:rsidRPr="00685E2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÷ 3,5</w:t>
            </w:r>
            <w:r w:rsidR="00D3492C" w:rsidRPr="00685E2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m – </w:t>
            </w:r>
            <w:r w:rsidR="009657F0" w:rsidRPr="00685E2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szerokość światła drzwi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3,0m ÷ 3,5m – wysokość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rampa niwelująca próg, obciążalność rampy min 5 000 kg/m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vertAlign w:val="superscript"/>
              </w:rPr>
              <w:t xml:space="preserve">2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zsynchronizowana z ruchem drzwi dwuskrzydłowych,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,  który umożliwi integrację ze wzmacniaczami w pomieszczeniu AR/CR i ich wyłączenie w przypadku otwarcia drzwi. Przewody sygnału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muszą być wprowadzone do pomieszczenia AR/CR w sposób szczelny elektromagnetycznie,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drzwi wyłożone ferrytem,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skuteczność ekranowania do 40GHz.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Stół pomiarowy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obrotowy (obrotnica), zainstalowany w podłodze 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o średnicy min. 5m, 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max. 5,5m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obciążalność min. 5000kg,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kontroler sterujący pracą stołu wraz z oprogramowaniem, wyposażony w interfejs </w:t>
            </w:r>
            <w:r w:rsidR="0097383C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umożliwiający jego zdalną obsługę,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stół zintegrowany z podłogą podniesioną w komorze,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panel dostępowy w środku stołu z gniazdami zasilającymi urządzenie badane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(2 gniazda 230V/32A, 1 gniazdo 400V/100A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DC).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 xml:space="preserve">Stół dielektryczny pomiarowy: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3x1m i wysokości 80cm</w:t>
            </w:r>
            <w:r w:rsidR="00B33021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kilku procent wynikająca z zapisów odpowiednich Norm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ustawienia na  nim urządzenia badanego o masie do 500kg,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spełniający wymagania jednorodności pola wg CISP16-1-4,  musi posiadać odpowiednio niską charakterystykę odbić.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u w:val="single"/>
              </w:rPr>
              <w:t>Stół do testów wg standardu MIL-STD-461F/G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 metalową uziemioną do ściany oraz podłogi komory płaszczyzną tworzącą stanowisko pomiarowe,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rozmiar 5x1m (2 stoły 2,5m)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i wysokości 80cm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kilku procent wynikająca z zapisów odpowiednich Norm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 demontażu i montażu oraz wniesienia i wyniesienia z komory,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stoły na dielektrycznych kółkach.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Maszt antenowy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wysokość skanowania 1 - 4m,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automatyczna zmiana wysokości i polaryzacji oraz nachylenia anteny w  zakresie 0 do 45 stopni,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adaptery do zamocowania wszystkich anten na maszcie,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kontroler sterujący pracą masztu wraz z oprogramowaniem, wyposażony w interfejs umożliwiający jego zdalną obsługę 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wolne kanały do sterowania– min 1,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ustawień ręcznych kontrolera z panelu.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elektryczna zmiana wysokości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pneumatyczna zmiana polaryzacji,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System CCTV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40GHz,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poziom emisji elektromagnetycznej nie zakłócający pomiarów w komorze,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Wykonanie zgodnie z wymaganiami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Tempest</w:t>
            </w:r>
            <w:proofErr w:type="spellEnd"/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System CCTV składa się z: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jednej kamery ekranowanej zainstalowanej na ścianie z głowicą obrotową pion/</w:t>
            </w:r>
            <w:r w:rsidR="000627A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poziom min 40x zoomem optycznym. </w:t>
            </w:r>
            <w:r w:rsidR="000627AB" w:rsidRPr="000627AB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Dopuszcza się zoom x 30</w:t>
            </w:r>
            <w:r w:rsidR="002E73E4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przy pracy kamery</w:t>
            </w:r>
            <w:r w:rsidR="000627AB" w:rsidRPr="000627AB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w standardzie Full-HD</w:t>
            </w:r>
            <w:r w:rsidR="000627A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-jednej kamery ekranowanej zainstalowanej na przenośnym statywie z głowicą obrotową pion/poziom</w:t>
            </w:r>
            <w:r w:rsidR="000627A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dielektrycznego statywu z głowicą umożliwiającą automatyczny obrót kamery w pionie i poziomie,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interkomu do komunikacji głosowej lub odsłuchu EUT,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sterownika z możliwością nagrywania na dysk i 2 monitorów min 24” z kompletem okablowania,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zasilanie sieciowe 230V.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Panele wentylacyjne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min. 24 paneli wentylacyjnych (40 GHz, min 300mm x 300mm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podłączenia do instalacji wentylacyjnej budynku,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wyposażone w kołnierze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umożliwiającego połączenie do instalacji budynku (projekt realizowany przez Wykonawcę dokumentacji projektowej Inwestycji) 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Bezpieczeństwo p.poż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zasysający laserowy system detekcji dymu  obejmujący jedną strefą komorę i pomieszczenie AR/CR,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integracji z nadrzędnym systemem p.poż. budynku,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autonomiczny alarm świetlno-dźwiękowy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Filtry RF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filtry o tłumienności wtrąceniowej nie gorszej niż skuteczność ekranowania komory, spełniające wymagania dla pomiarów emisji urządzeń TEMPEST,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63A, 400V,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- 1x  filtr zasilający 3-fazowy 4 x 100A, 400V,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2 x 32A, 250V,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- 2x  filtr zasilający 1-fazowy 4 x 16A, 250V,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3-fazowy 4 x 32A, 400V,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 filtr zasilający DC (400VDC / 32A, 2 linie) dla zasilania DC,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100VDC/10A (8-lini, 4-pary),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- 1x filtr 250VDC/32A (2-linie, 1-para),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filtr(y) do zasilania oświetlenia komory i wyposażenia własnego komory,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-filtry do oświetlenia awaryjnego.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Absorbery i ferryty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 hybrydowy (płytki ferrytowe + czynne objętościowo absorbery piramidalne), -zakres pracy absorbera hybrydowego min 30MHz do 40GHz,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absorbery piramidalne  wykonane z materiału oddającego ciepło (polipropylen, poliuretan). Nie dopuszcza się stosowania absorberów opartych na polistyrenie,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powierzchnia ścian (w tym drzwi) i sufitów pokryta płytką ferrytową (dopuszcza się lokalny brak ferrytów np. w panelach przejściowych i wentylacyjnych, o  ile  nie wpłynie to istotnie na parametry komory, związane z badaniami TEMPEST),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 wymiany bloku piramid w przypadku ich uszkodzenia, 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zestaw absorberów do ułożenia na podłodze podczas pomiarów emisji promieniowanej powyżej 1GHz oraz przy testach odporności promieniowanej,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nakładki rozjaśniające na ścianie i suficie ( nadruk/oklejenie odpowiedniego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loga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nazwy firmy na wybranych nakładkach)</w:t>
            </w:r>
          </w:p>
          <w:p w:rsidR="00D3492C" w:rsidRPr="0097383C" w:rsidRDefault="00D3492C" w:rsidP="00462FCB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wózki do składowania 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wszystkich 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absorberów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ułożenia na podłodze przywołanych powyżej</w:t>
            </w: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Konwertery optyczne (wykonane w technologii umożliwiającej badania emisji urządzeń wg TEMPEST) :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Ethernet 1Gbit,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- 2x RS232/485,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- 3x USB2.0,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- 3x HDMI,</w:t>
            </w:r>
          </w:p>
          <w:p w:rsidR="00D3492C" w:rsidRPr="009738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wyprowadzone w panelach podłogowych wewnątrz komory -  wskazanych  przez Zleceniodawcę,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wyprowadzone na zewnątrz komory na tablicy w pobliżu stanowiska operatora,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- możliwość rozbudowy o kolejne  2 konwertery,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osobne, separowane tory sygnałowe dla każdego konwertera,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niezależne od siebie włączanie / wyłącznie konwerterów,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odporność min 200V/m do 18GHz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738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738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Panele przejściowe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62FCB" w:rsidRPr="0097383C" w:rsidRDefault="00D3492C" w:rsidP="00462FCB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- 6 paneli przejściowych min. 400 mm x 400 mm z przykręconą  płytką i pokrywą ferrytową,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do ustalenia a etapie projektu,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złącza: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N,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14 szt. Przejście RF typu BNC,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SMA,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optyczne, 6-torowy falowód,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o średnicy min 50mm,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1 </w:t>
            </w:r>
            <w:proofErr w:type="spellStart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100mm,</w:t>
            </w:r>
          </w:p>
          <w:p w:rsidR="00D3492C" w:rsidRPr="009738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1 zestawy doprowadzenia wody (rura 3 x 1”), odprowadzenie wody (rura 3 x 2”).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Panele  podłogowe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62FCB" w:rsidRPr="0097383C" w:rsidRDefault="00D3492C" w:rsidP="00462FCB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- 6 zamykanych paneli podłogowych w komorze min 400mm x 400mm,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>– z tolerancją do 10 % lub większego wymiaru typoszeregu dla paneli</w:t>
            </w:r>
            <w:r w:rsidR="00462FCB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lokalizacja  do ustalenia na etapie projektu(w okolicy masztu antenowego oraz stołu pomiarowego),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 w złącza: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12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7/16”,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10 szt. Przejście RF typu BNC,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Przejście RF typu SMA,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6 szt. Przejście optyczne typu S-ST,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24 szt. Przejście optyczne typu F-SMA,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pneumatyczne 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6 szt. Gniazdo zasilania AC 230V/16A jednofazowe 50Hz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Gniazdo zasilania AC 230V/16A jednofazowe 60Hz,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400V/63A trójfazowe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Gniazdo zasilania AC 400V/100A trójfazowe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2 szt. Gniazdo zasilania AC 400V/100A trójfazowe 60Hz,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4 </w:t>
            </w:r>
            <w:proofErr w:type="spellStart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400V/32A, 2 linie DC,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1 </w:t>
            </w:r>
            <w:proofErr w:type="spellStart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gniazdo zasilania DC 400V/100A, 2 linie DC,</w:t>
            </w:r>
          </w:p>
        </w:tc>
      </w:tr>
      <w:tr w:rsidR="00D3492C" w:rsidRPr="00D3492C" w:rsidTr="00110C3C">
        <w:trPr>
          <w:trHeight w:val="172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System wyciągu spalin</w:t>
            </w:r>
            <w:r w:rsidR="00A71B07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A71B07" w:rsidRPr="00A71B0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i </w:t>
            </w:r>
            <w:r w:rsidR="00A71B0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gazów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przyłącze w okolicy stołu pomiarowego,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- 1 </w:t>
            </w:r>
            <w:proofErr w:type="spellStart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szt</w:t>
            </w:r>
            <w:proofErr w:type="spellEnd"/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falowód do odprowadzenia spalin średnica min 100mm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>, max 120mm.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rury do wyciągu spalin,</w:t>
            </w:r>
            <w:r w:rsidR="00462FC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zgodnie z odpowiednimi przepisami w tym zakresie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wskaźnik zanieczyszczenia spalinami w komorze,</w:t>
            </w:r>
          </w:p>
          <w:p w:rsidR="00D3492C" w:rsidRPr="009A7B5C" w:rsidRDefault="00D3492C" w:rsidP="00B973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 blokada przed otwarciem drzwi w przypadku wysokiego współczynnika spalin.</w:t>
            </w:r>
            <w:r w:rsidR="00543203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543203" w:rsidRPr="0054320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Powyższa </w:t>
            </w:r>
            <w:r w:rsidR="0054320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funkcjonalność powinna mieć </w:t>
            </w:r>
            <w:r w:rsidR="00B9732C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B9732C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również</w:t>
            </w:r>
            <w:r w:rsidR="00B9732C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</w:t>
            </w:r>
            <w:r w:rsidR="00543203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miejsce w obszarze gazów </w:t>
            </w:r>
            <w:r w:rsidR="00A71B0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(np. ozonu).</w:t>
            </w:r>
          </w:p>
        </w:tc>
      </w:tr>
      <w:tr w:rsidR="00D3492C" w:rsidRPr="00D3492C" w:rsidTr="00110C3C">
        <w:trPr>
          <w:trHeight w:val="743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Przyłącze sprężonego powietrza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- 2 przyłącza sprężonego powietrza w okolicy stołu pomiarowego,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wyprowadzenie na zewnątrz komory z przyłączem i regulatorem ciśnienia( maksymalne ciśnienie 8 bar)</w:t>
            </w:r>
          </w:p>
        </w:tc>
      </w:tr>
      <w:tr w:rsidR="00D3492C" w:rsidRPr="00D3492C" w:rsidTr="00110C3C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System zasilania w bieżącą wodę oraz odpływ wody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- 1 zestawy doprowadzenia wody (rura 3 x 1”), odprowadzenie wody (rura 3 x 2”),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zabezpieczający przed zalaniem komory wodą, czujnik wilgotności,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kolumna demineralizacyjna.</w:t>
            </w:r>
          </w:p>
        </w:tc>
      </w:tr>
      <w:tr w:rsidR="00D3492C" w:rsidRPr="00D3492C" w:rsidTr="00110C3C">
        <w:trPr>
          <w:trHeight w:val="1805"/>
        </w:trPr>
        <w:tc>
          <w:tcPr>
            <w:tcW w:w="6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Klimatyzacja Komory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urządzenie zapewniające klimatyzację (stałe warunki atmosferyczne wewnątrz komory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oraz pomieszczeniach AR i CR)</w:t>
            </w:r>
            <w:r w:rsidR="002645FA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czujniki umożliwiające kontrolowanie warunków atmosferycznych,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utrzymywanie warunków atmosferycznych wewnątrz komory.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do zainstalowania wzmacniaczy AR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min. 4,0m x 2,5m x 3,0m, (długość x szerokość x wysokość)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</w:t>
            </w:r>
            <w:proofErr w:type="spellStart"/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toleracją</w:t>
            </w:r>
            <w:proofErr w:type="spellEnd"/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zwiększenia wymiarów do 10%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791C65" w:rsidRPr="0097383C" w:rsidRDefault="00D3492C" w:rsidP="00791C65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przejściowych do komory (min 400mm x 400mm) z przykręconą płytą,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z tolerancją do 10 % lub większego wymiaru typoszeregu dla paneli</w:t>
            </w:r>
            <w:r w:rsidR="00791C65" w:rsidRPr="0097383C">
              <w:rPr>
                <w:rFonts w:ascii="Myriad Pro Light SemiExt" w:eastAsia="Calibri" w:hAnsi="Myriad Pro Light SemiExt" w:cs="Arial"/>
                <w:sz w:val="20"/>
                <w:szCs w:val="20"/>
              </w:rPr>
              <w:t>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8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  7/16”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>15 szt. gniazda 230VAC 16A jednofazowy,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400VAC 32 A trójfazowe 50Hz,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techniczna demontowana,  podniesiona nim.  500mm,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drzwi skrzydłowe półautomatyczne: 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wymiary  min 0,9m x 2,0m,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max. +10%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x (40GHz, rozmiar 500mm x 500mm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Stoły, biurka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 - 2 szt. Umożliwiające postawienie wymaganej dla związanego z elementem Stanowiska/Stanowiska osprzętem i przestrzeni dla swobodnego czytania dokumentów i tworzenia notatek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TEMPEST.</w:t>
            </w:r>
          </w:p>
        </w:tc>
      </w:tr>
      <w:tr w:rsidR="00D3492C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27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Pomieszczenie kontrolno- pomiarowe CR</w:t>
            </w:r>
            <w:r w:rsidRPr="009A7B5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miejsce pracy dla 2/3 osób (min. 6,0m x 4,0m x 3,0m)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max zwiększeniem wymiarów do 10%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ekranujące na podłogę, ściany i sufit,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min. 6 paneli przejściowe do komory z przykręconą płytą, 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wyposażone (w sumie):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 szt. Przejście RF typu N,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Przejście RF typ  7/16”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szt., przejście optyczne , 6 torowy falowód,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2 x 16A, 250V,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 szt. filtr  4 x 32A, 400V,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15 szt. gniazda 230VAC 16A jednofazowy,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2 szt. gniazda 400 VAC 16A trójfazowy 50Hz,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podłoga techniczna demontowana, 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podłoga o obciążalności minimum 1000kg/m2,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9A7B5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Wysokość podłogi – równa z wysokością podłogi w komorze,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drzwi skrzydłowe półautomatyczne:</w:t>
            </w:r>
          </w:p>
          <w:p w:rsidR="00791C65" w:rsidRPr="009A7B5C" w:rsidRDefault="00D3492C" w:rsidP="00791C65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lastRenderedPageBreak/>
              <w:t xml:space="preserve">wymiary  min 0,9m x 2,0m,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max. +10%</w:t>
            </w:r>
          </w:p>
          <w:p w:rsidR="00D3492C" w:rsidRPr="009A7B5C" w:rsidRDefault="00D3492C" w:rsidP="001C1381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z ręczną  dostawianą rampą likwidującą próg, 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panele wentylacyjne:</w:t>
            </w:r>
          </w:p>
          <w:p w:rsidR="00791C65" w:rsidRPr="009A7B5C" w:rsidRDefault="00D3492C" w:rsidP="00791C65">
            <w:pPr>
              <w:numPr>
                <w:ilvl w:val="0"/>
                <w:numId w:val="23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4x (40GHz, rozmiar min 300mm x 300mm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>,  max. +10%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do  40GHz, </w:t>
            </w:r>
          </w:p>
          <w:p w:rsidR="00D3492C" w:rsidRPr="009A7B5C" w:rsidRDefault="00D3492C" w:rsidP="001C1381">
            <w:pPr>
              <w:numPr>
                <w:ilvl w:val="0"/>
                <w:numId w:val="24"/>
              </w:numPr>
              <w:spacing w:before="120" w:after="120" w:line="259" w:lineRule="auto"/>
              <w:contextualSpacing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 możliwością podpięcia do systemu HVAC budynku,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robocze min. 300lx,</w:t>
            </w:r>
          </w:p>
          <w:p w:rsidR="00D3492C" w:rsidRPr="009A7B5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oświetlenie awaryjne z podtrzymaniem bateryjnym umieszczone nad drzwiami,</w:t>
            </w:r>
          </w:p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-instalacja elektryczna – umożliwiająca badania urządzeń typu TEMPEST</w:t>
            </w:r>
            <w:r w:rsidRPr="009A7B5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.</w:t>
            </w:r>
          </w:p>
        </w:tc>
      </w:tr>
      <w:tr w:rsidR="00D3492C" w:rsidRPr="00D3492C" w:rsidTr="00110C3C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jc w:val="center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Zbiornik pomiarowy</w:t>
            </w:r>
          </w:p>
        </w:tc>
      </w:tr>
      <w:tr w:rsidR="00D3492C" w:rsidRPr="00D3492C" w:rsidTr="00A31F94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Dane dotyczące zbiornika pomiarowego.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zbiornik o wymiarach 2,5m x 1,5m </w:t>
            </w:r>
            <w:r w:rsidR="0052343E">
              <w:rPr>
                <w:rFonts w:ascii="Myriad Pro Light SemiExt" w:eastAsia="Calibri" w:hAnsi="Myriad Pro Light SemiExt" w:cs="Arial"/>
                <w:sz w:val="20"/>
                <w:szCs w:val="20"/>
              </w:rPr>
              <w:t>x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1,5m</w:t>
            </w:r>
            <w:r w:rsidR="0052343E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="0052343E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(głębokość)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z tolerancją do 5%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wykonanie z tworzywa sztucznego do wypełnienia wodą w całej objętości,</w:t>
            </w:r>
          </w:p>
          <w:p w:rsidR="00D3492C" w:rsidRPr="009A7B5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- możliwość przewożenia zbiornika za pomocą wózka widłowego,</w:t>
            </w:r>
          </w:p>
          <w:p w:rsidR="00D3492C" w:rsidRPr="009A7B5C" w:rsidRDefault="00D3492C" w:rsidP="00814E51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zbiornik wyposażony w </w:t>
            </w:r>
            <w:r w:rsidR="00791C65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uziemienie </w:t>
            </w:r>
            <w:r w:rsidRPr="009A7B5C">
              <w:rPr>
                <w:rFonts w:ascii="Myriad Pro Light SemiExt" w:eastAsia="Calibri" w:hAnsi="Myriad Pro Light SemiExt" w:cs="Arial"/>
                <w:sz w:val="20"/>
                <w:szCs w:val="20"/>
              </w:rPr>
              <w:t>zgodnie z MIL-STD-461, na dnie zbiornika z możliwością demontażu,</w:t>
            </w:r>
          </w:p>
        </w:tc>
      </w:tr>
      <w:tr w:rsidR="00A31F94" w:rsidRPr="00D3492C" w:rsidTr="00854BE7">
        <w:trPr>
          <w:trHeight w:val="84"/>
        </w:trPr>
        <w:tc>
          <w:tcPr>
            <w:tcW w:w="94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31F94" w:rsidRPr="00A31F94" w:rsidRDefault="00A31F94" w:rsidP="00A31F94">
            <w:pPr>
              <w:spacing w:before="120" w:after="120" w:line="240" w:lineRule="auto"/>
              <w:jc w:val="center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Zabezpieczenie </w:t>
            </w:r>
            <w:r w:rsidRPr="0052233C">
              <w:rPr>
                <w:rFonts w:ascii="Myriad Pro Light SemiExt" w:eastAsia="Calibri" w:hAnsi="Myriad Pro Light SemiExt" w:cs="Arial"/>
                <w:b/>
                <w:sz w:val="24"/>
                <w:szCs w:val="24"/>
              </w:rPr>
              <w:t xml:space="preserve"> </w:t>
            </w: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Komory  przed zalaniem i uszkodzeniem mechanicznym</w:t>
            </w:r>
          </w:p>
        </w:tc>
      </w:tr>
      <w:tr w:rsidR="00A31F94" w:rsidRPr="00D3492C" w:rsidTr="00110C3C">
        <w:trPr>
          <w:trHeight w:val="84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31F94" w:rsidRPr="00A31F94" w:rsidRDefault="00A31F94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color w:val="FF0000"/>
                <w:sz w:val="20"/>
                <w:szCs w:val="20"/>
              </w:rPr>
            </w:pPr>
            <w:r w:rsidRPr="00A31F94">
              <w:rPr>
                <w:rFonts w:ascii="Myriad Pro Light SemiExt" w:eastAsia="Calibri" w:hAnsi="Myriad Pro Light SemiExt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</w:tcPr>
          <w:p w:rsidR="00A31F94" w:rsidRPr="00A31F94" w:rsidRDefault="00A31F94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 w:rsidRPr="00A31F94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Wymagania</w:t>
            </w:r>
          </w:p>
        </w:tc>
        <w:tc>
          <w:tcPr>
            <w:tcW w:w="6804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</w:tcPr>
          <w:p w:rsidR="00A31F94" w:rsidRDefault="00854BE7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Umiejscowione nad zewnętrzną konstrukcją Komory zadaszenie z tworzywa sztucznego zabezpieczające możliwość przedostania się wody czy też uderzenia odpadem poszycia dachowego. </w:t>
            </w:r>
          </w:p>
          <w:p w:rsidR="00854BE7" w:rsidRPr="00854BE7" w:rsidRDefault="00443B78" w:rsidP="00854BE7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Wokół zadaszenia powinien</w:t>
            </w:r>
            <w:r w:rsidR="00854BE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znajdować się </w:t>
            </w:r>
            <w:r w:rsidR="00854BE7">
              <w:rPr>
                <w:rFonts w:ascii="Arial" w:hAnsi="Arial" w:cs="Arial"/>
                <w:color w:val="3C4247"/>
                <w:sz w:val="21"/>
                <w:szCs w:val="21"/>
              </w:rPr>
              <w:t xml:space="preserve"> </w:t>
            </w:r>
            <w:r w:rsidR="001B175E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system rynien</w:t>
            </w:r>
            <w:r w:rsidR="00854BE7" w:rsidRPr="00854BE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, który będ</w:t>
            </w:r>
            <w:r w:rsidR="00854BE7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>zie odprowadzał wodę z zadaszenia do wykonanego w ramach realizacji budynku systemu odwodnienia.</w:t>
            </w:r>
            <w:r w:rsidR="001B175E">
              <w:rPr>
                <w:rFonts w:ascii="Myriad Pro Light SemiExt" w:eastAsia="Calibri" w:hAnsi="Myriad Pro Light SemiExt" w:cs="Arial"/>
                <w:color w:val="FF0000"/>
                <w:sz w:val="20"/>
                <w:szCs w:val="20"/>
              </w:rPr>
              <w:t xml:space="preserve"> Zadaszenie powinni obejmować min. 50 cm większy obszar niż wynika z rzutu poziomego komory.</w:t>
            </w:r>
          </w:p>
        </w:tc>
      </w:tr>
    </w:tbl>
    <w:p w:rsidR="0052233C" w:rsidRDefault="0052233C" w:rsidP="0052233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</w:p>
    <w:p w:rsidR="00D3492C" w:rsidRPr="0052233C" w:rsidRDefault="0052233C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>
        <w:rPr>
          <w:rFonts w:ascii="Myriad Pro Light SemiExt" w:eastAsia="Calibri" w:hAnsi="Myriad Pro Light SemiExt" w:cs="Arial"/>
          <w:b/>
          <w:sz w:val="24"/>
          <w:szCs w:val="24"/>
        </w:rPr>
        <w:t xml:space="preserve">Cześć 2 -&gt;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emisji przewodzonych/promieniowanych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Nazwa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Zgodność z standardami (w zakresie pomiaru emisji)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 (</w:t>
            </w:r>
            <w:proofErr w:type="spellStart"/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full-compliance</w:t>
            </w:r>
            <w:proofErr w:type="spellEnd"/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lastRenderedPageBreak/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MIL-STD 461G –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procedura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 RE102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PRE-02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Zakres pomiarowy od 10kHz do 40GHz</w:t>
            </w:r>
          </w:p>
        </w:tc>
      </w:tr>
      <w:tr w:rsidR="00D3492C" w:rsidRPr="000B5CA8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przewodzonej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procedura CE102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– procedura PCE-02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Napięcie zasilania nadanych obiektów: 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>AC: 230V/100A, 400V/100A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val="en-US" w:eastAsia="zh-CN"/>
              </w:rPr>
              <w:t xml:space="preserve">DC: 400V/100A 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Wykaz przeprowadzanych badań w zakresie emisji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55011/CISPR 11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55016/CISPR 16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55022/CISPR 22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 xml:space="preserve">EN 55032/CISPR 32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55025/CISPR 25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GB"/>
              </w:rPr>
              <w:t>EN 60945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IEC 60533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MIL-STD 461G – procedury RE102 (do 18GHz) oraz RE103 (do 40GHz)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NO-06-A200/A500 - procedury PRE-02 (do 18GHz) oraz PRE-03 (do 40GHz)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Pionowa antena prętowa (rod-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zakresie częstotliwości min. 9kHz - 30MHz,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posiada złącze BNC 50 Ohm - antena przystosowana do montażu na statywie,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do anteny,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zasilanie anteny za pomocą przewodu,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prętowej,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montażu przedwzmacniacza w szafie typu 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rack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aluminiowa płyta uziemiająca do anteny prętowej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 przeznaczony do anteny prętowej zgodny z normą MIL-STD-461F/G,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magnetyczna do pomiarów emisji zaburzeń zgodnie z komercyjnymi testami CISPR 32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9kHz-30MHz,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antena do pomiarów zgodnie z </w:t>
            </w: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dwustożkowa (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biconicalantenna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praca w częstotliwości min. 20MHz – 300MHz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Antena do pomiarów emisji zaburzeń zgodnie z komercyjnymi testami CISPR 22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20MHz-6GHz,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(Opcjonalnie zestaw dwóch anten)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współczynnik antenowy AF (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antennafactor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) max do 24dB/m dla 1GHz,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200MHz-1GHz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lastRenderedPageBreak/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800MHz-18GHz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color w:val="00B050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Antena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tubowa</w:t>
            </w:r>
            <w:proofErr w:type="spellEnd"/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 xml:space="preserve"> DRH (double ridge horn)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zakres częstotliwości min. 18GHz-40GHz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zgodna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zestaw okablowania,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stojak/statyw do anteny ,pozwalający na ustawienie anteny zgodnie z normą MIL-STD-461F/G RE102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obracania anteny na statywie w różnych pozycjach zgodnie z normą,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Sieci sztuczne LISN 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4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-niezależne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jednoprzewodowe 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10 kHz     – 100 MHz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napięcie pracy min. 800V dla zasilania AC i DC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prąd obciążenia min. 100A na linię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MIL-STD 461G oraz 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br/>
              <w:t>NO-06-A200/A500 - procedury PCE-02,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sztuczna LISN 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sieć 3 fazowa 400VAC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50 µH + 5 Ohm || 50 Ohm,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praca w zakresie częstotliwości min. 9 kHz     – 30 MHz 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napięcie pracy min. 400V dla zasilania AC 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prąd obciążenia min. 32A 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pomiar zgodny ze standardami </w:t>
            </w: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 xml:space="preserve"> CISPR 32</w:t>
            </w:r>
          </w:p>
          <w:p w:rsidR="00D3492C" w:rsidRPr="0052233C" w:rsidRDefault="00D3492C" w:rsidP="00D3492C">
            <w:pPr>
              <w:tabs>
                <w:tab w:val="left" w:pos="1320"/>
              </w:tabs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T-LISN do pomiaru zaburzeń asymetrycznych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na nieekranowanych symetrycznych 2-przewodowych (1-para) sieciach telekomunikacyjnych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Sieć ISN do pomiaru nieekranowanych symetrycznych linii transmisyjnych UTC 8-przewodów (4-pary) </w:t>
            </w: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CAT6 (LCL=75dB)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CAT5 (LCL=65dB)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nieekranowanych symetrycznych linii transmisyjnych UTC 8-przewodów (4-pary) CAT3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symetrycznych linii transmisyjnych UTC do 8-przewodów (do 4-pary) (LCL=55dB)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Sieć ISN do pomiaru ekranowanych koncentrycznych linii transmisyjnych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topologia zgodna z normą CISPR 32,</w:t>
            </w:r>
          </w:p>
          <w:p w:rsidR="00D3492C" w:rsidRPr="0052233C" w:rsidRDefault="00D3492C" w:rsidP="00D3492C">
            <w:pPr>
              <w:spacing w:before="120" w:after="120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Przełączniki sygnałów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przełącznik  zapewniający automatyczne przełączanie pomiędzy pomiarami emisji przewodzonej na każdej linii (sieci)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możliwość przełączania dla pomiarów emisji promieniowanej,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sterowanie przełącznikiem za pomocą automatycznego oprogramowania,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- możliwość </w:t>
            </w:r>
            <w:proofErr w:type="spellStart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zaterminowania</w:t>
            </w:r>
            <w:proofErr w:type="spellEnd"/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 xml:space="preserve"> linii które nie są w danym momencie mierzone zgodnie z CISPR 32,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lastRenderedPageBreak/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Przedwzmacniacz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przedwzmacniacz o zakresie od 9kHz do 40GHz,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moc przedwzmacniacza: min 30dB w całym zakresie od 1MHz  do 40GHz,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Szafy RACK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  <w:t>- szafy RACK do umieszczenia wszystkich urządzeń pomiarowych.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Komputer i Oprogramowanie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komputer - 1 licencja pakietu do edycji tekstu oraz arkuszy kalkulacyjnych,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stołem obrotowym,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sterowania masztem antenowym,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oprogramowanie do pomiaru zgodnie z przedmiotem zamówienia, pomiar emisji przewodzonej i promieniowanej zgodnie z normami cywilnymi i obronnymi,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możliwość analizy o obróbki danych na niezależnych min. 2 stacjach roboczych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kompatybilne z Win 7/10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Odbiornik pomiarowy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zakres częstotliwości od 2Hz do 44GHz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wszystkich parametrów zgodnie z normami niniejszej specyfikacji,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wbudowany system z ustawieniami zgodnie z normami niniejszej specyfikacji,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 umożliwiający pomiar w czasie rzeczywistym,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theme="minorHAnsi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Tester radiokomunikacyjny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-Obsługujący protokoły: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LTE, WIMAX, CDMA,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GSM, GPRS, EDGE, GPS, Bluetooth, WLAN, DVB-T, T-DMB,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  <w:t>CMMB, FM Stereo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Ława pomiarowa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 xml:space="preserve">-Ława do pomiarów  mocy zaburzeń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wg PN-EN 55014-1,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przeniesienia z komory na zewnątrz,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-automatyczna zmiana odległości klamry pomiarowej z pomieszczenia CR za pomocą </w:t>
            </w: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lastRenderedPageBreak/>
              <w:t>układu sterowania spełniającego limit wg EN 55032,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skalibrowany tor pomiarowy,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skonfigurowane stanowisko do pomiaru mocy zaburzeń,</w:t>
            </w:r>
          </w:p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-możliwość  wykonania pomiaru za pomocą oprogramowania w komputerze stacjonarnym.</w:t>
            </w:r>
          </w:p>
        </w:tc>
      </w:tr>
      <w:tr w:rsidR="00814E51" w:rsidRPr="00D3492C" w:rsidTr="005223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814E51" w:rsidRPr="0052233C" w:rsidRDefault="00814E51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lastRenderedPageBreak/>
              <w:t>2</w:t>
            </w:r>
            <w:r w:rsidR="00DF1CE3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814E51" w:rsidRPr="0052233C" w:rsidRDefault="00814E51" w:rsidP="00D3492C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theme="minorHAnsi"/>
                <w:sz w:val="20"/>
                <w:szCs w:val="20"/>
              </w:rPr>
              <w:t>Klamra pomiarowa do ławy pomiarowej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814E51" w:rsidRPr="0052233C" w:rsidRDefault="00814E51" w:rsidP="00814E51">
            <w:pPr>
              <w:spacing w:before="120" w:after="120" w:line="240" w:lineRule="auto"/>
              <w:rPr>
                <w:rFonts w:ascii="Myriad Pro Light SemiExt" w:eastAsia="Calibri" w:hAnsi="Myriad Pro Light SemiExt" w:cs="Times New Roman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 xml:space="preserve">- Zakres pomiarowy od 30 MHz do 1 GHz </w:t>
            </w:r>
          </w:p>
          <w:p w:rsidR="00814E51" w:rsidRPr="0052233C" w:rsidRDefault="00814E51" w:rsidP="00814E51">
            <w:pPr>
              <w:spacing w:before="120" w:after="120" w:line="240" w:lineRule="auto"/>
              <w:rPr>
                <w:rFonts w:ascii="Myriad Pro Light SemiExt" w:eastAsia="Calibri" w:hAnsi="Myriad Pro Light SemiExt" w:cstheme="minorHAnsi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Times New Roman"/>
                <w:sz w:val="20"/>
                <w:szCs w:val="20"/>
              </w:rPr>
              <w:t>- Wg PN-EN 55014-1</w:t>
            </w:r>
          </w:p>
        </w:tc>
      </w:tr>
    </w:tbl>
    <w:p w:rsidR="0052233C" w:rsidRDefault="0052233C" w:rsidP="0052233C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:rsidR="00D3492C" w:rsidRPr="0052233C" w:rsidRDefault="0052233C" w:rsidP="0052233C">
      <w:pPr>
        <w:spacing w:before="120" w:after="120"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  <w:r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Część 3 -&gt;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>Element komory - zestaw do pomiaru odporności promieniowanej</w:t>
      </w: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Zakres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- 50V/m w zakresie od 10kHz do 40GHz zgodnie z MIL-STD-461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- 30V/m  w  zakresie od 80MHz do 6GHz zgodnie z PN-EN 61000-4-3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Generatory sygnałowe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Zakres częstotliwości od 20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Hz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>modulacje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  <w:t xml:space="preserve"> AM, FM, PM, PULSE,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Zestaw Wzmacniaczy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Moc wzmacniaczy :  spełnienia wymagań dot. Natężenia pola wg PN-EN 61000-4-3 zakresie od 80MHz do 6GHz, 30 V/m z 3 metrów,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i 1 metra 50 V/m  = w zakresie od 10kHz do 40GHz zgodnie z MIL-STD-461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Automatyczne przełączanie  pomiędzy wzmacniaczami  i antenami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Sprzęgacze kierunkowe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pomiarowy od 10kHz do 40GHz,</w:t>
            </w:r>
          </w:p>
          <w:p w:rsidR="00D3492C" w:rsidRPr="0052233C" w:rsidRDefault="00D3492C" w:rsidP="00D3492C">
            <w:pPr>
              <w:spacing w:after="0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Miernik natężenia pola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Sondy do pomiaru pola elektrycznego i magnetycznego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-Zakres natężenia min od 1V/m do 1000V/m,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Miernik mocy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Zakres częstotliwości od 10 kHz do 40 GHz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Antena do zaburzeń zgodnie z komercyjnymi testami PN-EN 61000-4-3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zakres częstotliwości min. 30MHz-6GHz,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(Opcjonalnie zestaw dwóch anten)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współczynnik antenowy AF  max do 24dB/m dla 1GHz, 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Zestaw anten zgodnie z testami  wg.  MIL-STD-461</w:t>
            </w:r>
          </w:p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częstotliwości od 10 kHz do 40 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 xml:space="preserve">-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anteny zgodnie z testami  wg.  MIL-STD-461.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Przełącznica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  <w:t>- Zakres pomiarowy do 18 GHz,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Times New Roman" w:hAnsi="Myriad Pro Light SemiExt" w:cs="Arial"/>
                <w:sz w:val="20"/>
                <w:szCs w:val="20"/>
                <w:lang w:eastAsia="pl-PL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Komputer z programem do badania odporności promieniowanej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komputer z monitorem 24 cale,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oprogramowanie do generowania zadanych parametrów zgodnie z przytoczonymi normami do odporności promieniowanej,  umożliwiającej dostosowanie konfiguracji testów w zależności od potrzeb użytkownika,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kern w:val="1"/>
                <w:sz w:val="20"/>
                <w:szCs w:val="20"/>
                <w:lang w:eastAsia="zh-CN"/>
              </w:rPr>
              <w:t>- dokumenty kalibracji, wzorcowania.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Wykonanie kalibracji jednorodnego pola  elektromagnetycznego zgodnie z aktualnym wydaniem normy EN-61000-4-3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br/>
              <w:t>w płaszczyźnie pomiarowej1,5m x 1,5m pole mierzone w odległości 3m od anteny nadawczej powinno wykazywać jednorodność z tolerancją  (-0dB ÷ +6dB): dla wszystkich punktów pomiarowych (16) w  zakresie 26MHz – 1GHz oraz dla 75% punktów pomiarowych (12) w  zakresie częstotliwości1GHz – 18GHz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Kalibracja dla procedury KRS-02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/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Wykonana wg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 xml:space="preserve"> MIL-STD 461G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lang w:val="en-US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  <w:lang w:val="en-GB"/>
              </w:rPr>
              <w:t>NO-06-A200/A500 (MIL-STD 461F)</w:t>
            </w:r>
          </w:p>
        </w:tc>
      </w:tr>
    </w:tbl>
    <w:p w:rsidR="0052233C" w:rsidRDefault="0052233C" w:rsidP="0052233C">
      <w:pPr>
        <w:spacing w:before="120" w:after="1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B37DF" w:rsidRDefault="002B37D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F1CE3" w:rsidRDefault="00DF1CE3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Default="000409AF" w:rsidP="00990DE4">
      <w:pPr>
        <w:spacing w:before="120" w:after="120"/>
        <w:contextualSpacing/>
        <w:jc w:val="center"/>
        <w:rPr>
          <w:rFonts w:ascii="Myriad Pro Light SemiExt" w:eastAsia="Calibri" w:hAnsi="Myriad Pro Light SemiExt" w:cs="Arial"/>
          <w:b/>
          <w:sz w:val="24"/>
          <w:szCs w:val="24"/>
        </w:rPr>
      </w:pPr>
      <w:bookmarkStart w:id="166" w:name="_GoBack"/>
      <w:bookmarkEnd w:id="166"/>
      <w:r w:rsidRPr="000409AF">
        <w:rPr>
          <w:rFonts w:ascii="Myriad Pro Light SemiExt" w:eastAsia="Calibri" w:hAnsi="Myriad Pro Light SemiExt" w:cs="Arial"/>
          <w:b/>
          <w:sz w:val="24"/>
          <w:szCs w:val="24"/>
        </w:rPr>
        <w:lastRenderedPageBreak/>
        <w:t>Zadanie nr 2 – opracowanie dokumentacji projektowej stanowiska do badania odporności urządzeń i systemów techniki morskiej na oddziaływanie pól elektromagnetycznych impulsowych wysokiej mocy wraz z dostawą, montażem, uruchomieniem stanowiska i pełnieniem nadzoru autorskiego. Zadanie nr 2 obejmuje swoim zakresem Część 4 (czwartą) przedmiotu zamówienia, tj.:</w:t>
      </w:r>
    </w:p>
    <w:p w:rsidR="000409A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0409AF" w:rsidRDefault="000409AF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</w:rPr>
      </w:pPr>
    </w:p>
    <w:p w:rsidR="00D3492C" w:rsidRPr="0052233C" w:rsidRDefault="0052233C" w:rsidP="0052233C">
      <w:pPr>
        <w:spacing w:before="120" w:after="120"/>
        <w:contextualSpacing/>
        <w:jc w:val="both"/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</w:pPr>
      <w:r w:rsidRPr="0052233C">
        <w:rPr>
          <w:rFonts w:ascii="Myriad Pro Light SemiExt" w:eastAsia="Calibri" w:hAnsi="Myriad Pro Light SemiExt" w:cs="Arial"/>
          <w:b/>
          <w:sz w:val="24"/>
          <w:szCs w:val="24"/>
        </w:rPr>
        <w:t>Część 4 -&gt;</w:t>
      </w:r>
      <w:r w:rsidRPr="0052233C">
        <w:rPr>
          <w:rFonts w:ascii="Myriad Pro Light SemiExt" w:eastAsia="Calibri" w:hAnsi="Myriad Pro Light SemiExt" w:cs="Arial"/>
          <w:sz w:val="24"/>
          <w:szCs w:val="24"/>
        </w:rPr>
        <w:t xml:space="preserve"> 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</w:rPr>
        <w:t xml:space="preserve">Stanowisko </w:t>
      </w:r>
      <w:r w:rsidR="00D3492C" w:rsidRPr="0052233C">
        <w:rPr>
          <w:rFonts w:ascii="Myriad Pro Light SemiExt" w:eastAsia="Calibri" w:hAnsi="Myriad Pro Light SemiExt" w:cs="Arial"/>
          <w:b/>
          <w:bCs/>
          <w:color w:val="000000"/>
          <w:sz w:val="24"/>
          <w:szCs w:val="24"/>
        </w:rPr>
        <w:t>do badania odporności urządzeń i systemów techniki morskiej na oddziaływanie pól elektromagnetycznych impulsowych wysokiej mocy (NEMP).</w:t>
      </w:r>
      <w:r w:rsidR="00D3492C" w:rsidRPr="0052233C">
        <w:rPr>
          <w:rFonts w:ascii="Myriad Pro Light SemiExt" w:eastAsia="Calibri" w:hAnsi="Myriad Pro Light SemiExt" w:cs="Arial"/>
          <w:b/>
          <w:sz w:val="24"/>
          <w:szCs w:val="24"/>
          <w:lang w:eastAsia="pl-PL"/>
        </w:rPr>
        <w:t xml:space="preserve"> </w:t>
      </w:r>
    </w:p>
    <w:p w:rsidR="00D3492C" w:rsidRPr="00D3492C" w:rsidRDefault="00D3492C" w:rsidP="00D3492C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91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49"/>
        <w:tblW w:w="9404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4253"/>
        <w:gridCol w:w="4536"/>
      </w:tblGrid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 xml:space="preserve">Nazwa 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uppressAutoHyphens/>
              <w:spacing w:before="120" w:after="120" w:line="252" w:lineRule="auto"/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kern w:val="1"/>
                <w:sz w:val="20"/>
                <w:szCs w:val="20"/>
                <w:lang w:eastAsia="zh-CN"/>
              </w:rPr>
              <w:t>Oczekiwane parametry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Miejsce zainstalowania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wewnątrz komory, SAC 10m, możliwość pracy na zewnątrz w warunkach pogodowych.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Gabaryty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wymiary linii: 3,6m x 16,4m</w:t>
            </w:r>
            <w:r w:rsid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± 0,3m</w:t>
            </w:r>
          </w:p>
          <w:p w:rsidR="00D3492C" w:rsidRPr="0052233C" w:rsidRDefault="00D3492C" w:rsidP="00D3492C">
            <w:pPr>
              <w:spacing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możliwość badania obiektów do wysokości 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min.</w:t>
            </w:r>
            <w:r w:rsid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1,1m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Generator NEMP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generator wysokonapięciowy szybkich impulsów podłączany do linii antenowej,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kształt impulsu zgodnie z MIL-STD461G, RS105,</w:t>
            </w:r>
          </w:p>
          <w:p w:rsidR="00D3492C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amplituda </w:t>
            </w:r>
            <w:proofErr w:type="spellStart"/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narażeń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min 50kV/m.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linia radiacyjna do badań zgodnie z MIL-STD461G, RS105</w:t>
            </w:r>
          </w:p>
          <w:p w:rsidR="00C126FB" w:rsidRPr="00C126FB" w:rsidRDefault="00C368D2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126FB"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amiot ekranowany o wymiarach 2m x 2m, 2 m ± 0,3m z filtrem zasilającym 240VAC, z wentylacją oraz panelem przejściowym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- 1 butla gazu SF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 xml:space="preserve">6 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oraz 1 butla gazu N</w:t>
            </w: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  <w:vertAlign w:val="subscript"/>
              </w:rPr>
              <w:t>2,</w:t>
            </w:r>
          </w:p>
          <w:p w:rsidR="00C126FB" w:rsidRPr="0052233C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pręt uziemiający z kablem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Urządzenia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kontrolno</w:t>
            </w:r>
            <w:proofErr w:type="spellEnd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pomiarowe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umieszczone w pomieszczeniu sterówki,</w:t>
            </w:r>
          </w:p>
          <w:p w:rsidR="00C126FB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monitor napięcia na wyjściu generatora wraz sensorami</w:t>
            </w:r>
            <w:r w:rsid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sonda naziemna pola,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Sonda swobodna pola z adapterem,</w:t>
            </w:r>
          </w:p>
          <w:p w:rsidR="00C126FB" w:rsidRPr="00C126FB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dielektryczny statyw,</w:t>
            </w:r>
          </w:p>
          <w:p w:rsidR="00D3492C" w:rsidRPr="0052233C" w:rsidRDefault="00C126FB" w:rsidP="00C126FB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C126FB">
              <w:rPr>
                <w:rFonts w:ascii="Myriad Pro Light SemiExt" w:eastAsia="Calibri" w:hAnsi="Myriad Pro Light SemiExt" w:cs="Arial"/>
                <w:sz w:val="20"/>
                <w:szCs w:val="20"/>
              </w:rPr>
              <w:t>- łącza optyczne,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Oscyloskop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52233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pasmom min 1GHz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,</w:t>
            </w:r>
          </w:p>
          <w:p w:rsidR="00D3492C" w:rsidRPr="0052233C" w:rsidRDefault="00703FCD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sz w:val="20"/>
                <w:szCs w:val="20"/>
              </w:rPr>
              <w:t>- próbkowanie min 10Gs</w:t>
            </w:r>
            <w:r w:rsidR="00D3492C"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/s,</w:t>
            </w:r>
          </w:p>
          <w:p w:rsidR="00D3492C" w:rsidRPr="0052233C" w:rsidRDefault="00D3492C" w:rsidP="00703FCD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- 4 kanałowy</w:t>
            </w:r>
            <w:r w:rsidR="00703FCD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–  możliwość pracy niezależnej</w:t>
            </w: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.</w:t>
            </w:r>
          </w:p>
        </w:tc>
      </w:tr>
      <w:tr w:rsidR="00D3492C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Jednostka sterująca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wskazanie naładowania i ustawienia napięcia ładowania generatora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wskazania i ustawienia ciśnienia azotu i SF6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wyzwalanie impulsu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system </w:t>
            </w:r>
            <w:proofErr w:type="spellStart"/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interlock</w:t>
            </w:r>
            <w:proofErr w:type="spellEnd"/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>- system do zdalnego sterowania z poziomu komputera</w:t>
            </w:r>
          </w:p>
          <w:p w:rsidR="00D3492C" w:rsidRPr="0052233C" w:rsidRDefault="00D3492C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52233C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komputer z monitorem do obsługi i monitorowania NEMP </w:t>
            </w:r>
          </w:p>
        </w:tc>
      </w:tr>
      <w:tr w:rsidR="00E91FA6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Namiot ekranowany</w:t>
            </w:r>
            <w:r w:rsidR="00DF1CE3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(do badań poza Komorą)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n</w:t>
            </w:r>
            <w:r w:rsidR="00C368D2">
              <w:rPr>
                <w:rFonts w:ascii="Myriad Pro Light SemiExt" w:eastAsia="Calibri" w:hAnsi="Myriad Pro Light SemiExt" w:cs="Arial"/>
                <w:sz w:val="20"/>
                <w:szCs w:val="20"/>
              </w:rPr>
              <w:t>amiot o wymiarach 2m x 2m x</w:t>
            </w: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 2 m ± 0,3m ,</w:t>
            </w:r>
          </w:p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 xml:space="preserve">- filtr  zasilający 240VAC, </w:t>
            </w:r>
          </w:p>
          <w:p w:rsidR="00E91FA6" w:rsidRPr="00E91FA6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wentylacja ,</w:t>
            </w:r>
          </w:p>
          <w:p w:rsidR="00E91FA6" w:rsidRPr="0052233C" w:rsidRDefault="00E91FA6" w:rsidP="00E91FA6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E91FA6">
              <w:rPr>
                <w:rFonts w:ascii="Myriad Pro Light SemiExt" w:eastAsia="Calibri" w:hAnsi="Myriad Pro Light SemiExt" w:cs="Arial"/>
                <w:sz w:val="20"/>
                <w:szCs w:val="20"/>
              </w:rPr>
              <w:t>- panelem przejściowym ze złączem N-N + falowód,</w:t>
            </w:r>
          </w:p>
        </w:tc>
      </w:tr>
      <w:tr w:rsidR="00E91FA6" w:rsidRPr="00D3492C" w:rsidTr="00110C3C">
        <w:trPr>
          <w:trHeight w:val="411"/>
        </w:trPr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:rsidR="00E91FA6" w:rsidRPr="0052233C" w:rsidRDefault="00E91FA6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</w:pPr>
            <w:r>
              <w:rPr>
                <w:rFonts w:ascii="Myriad Pro Light SemiExt" w:eastAsia="Calibri" w:hAnsi="Myriad Pro Light SemiExt" w:cs="Arial"/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E91FA6" w:rsidRPr="0052233C" w:rsidRDefault="000320B2" w:rsidP="00D3492C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Materiał do budowy płaszczyzny uziemiającej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0320B2" w:rsidRPr="000320B2" w:rsidRDefault="000320B2" w:rsidP="000320B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- siatka 4 rolki o wymiarach 25m x 2 m ± 0,3m ,</w:t>
            </w:r>
          </w:p>
          <w:p w:rsidR="00E91FA6" w:rsidRPr="0052233C" w:rsidRDefault="000320B2" w:rsidP="000320B2">
            <w:pPr>
              <w:spacing w:before="120" w:after="120" w:line="240" w:lineRule="auto"/>
              <w:rPr>
                <w:rFonts w:ascii="Myriad Pro Light SemiExt" w:eastAsia="Calibri" w:hAnsi="Myriad Pro Light SemiExt" w:cs="Arial"/>
                <w:sz w:val="20"/>
                <w:szCs w:val="20"/>
              </w:rPr>
            </w:pPr>
            <w:r w:rsidRPr="000320B2">
              <w:rPr>
                <w:rFonts w:ascii="Myriad Pro Light SemiExt" w:eastAsia="Calibri" w:hAnsi="Myriad Pro Light SemiExt" w:cs="Arial"/>
                <w:sz w:val="20"/>
                <w:szCs w:val="20"/>
              </w:rPr>
              <w:t>- akcesoria montażowe.</w:t>
            </w:r>
          </w:p>
        </w:tc>
      </w:tr>
    </w:tbl>
    <w:p w:rsidR="00D3492C" w:rsidRPr="00D3492C" w:rsidRDefault="00D3492C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D3492C" w:rsidRDefault="00D3492C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3C0775" w:rsidRDefault="003C0775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3C0775" w:rsidRDefault="003C0775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2645FA" w:rsidRDefault="002645FA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p w:rsidR="00703FCD" w:rsidRDefault="00703FCD" w:rsidP="00D3492C">
      <w:pPr>
        <w:spacing w:after="120"/>
        <w:rPr>
          <w:rFonts w:ascii="Arial" w:eastAsia="Calibri" w:hAnsi="Arial" w:cs="Arial"/>
          <w:i/>
          <w:sz w:val="20"/>
          <w:szCs w:val="20"/>
        </w:rPr>
      </w:pPr>
    </w:p>
    <w:sectPr w:rsidR="00703FCD" w:rsidSect="006A642A">
      <w:headerReference w:type="default" r:id="rId9"/>
      <w:footerReference w:type="default" r:id="rId10"/>
      <w:pgSz w:w="11906" w:h="16838"/>
      <w:pgMar w:top="1418" w:right="1418" w:bottom="1418" w:left="1701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DA" w:rsidRDefault="003267DA" w:rsidP="008F14F3">
      <w:pPr>
        <w:spacing w:after="0" w:line="240" w:lineRule="auto"/>
      </w:pPr>
      <w:r>
        <w:separator/>
      </w:r>
    </w:p>
  </w:endnote>
  <w:endnote w:type="continuationSeparator" w:id="0">
    <w:p w:rsidR="003267DA" w:rsidRDefault="003267DA" w:rsidP="008F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 SemiEx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F0" w:rsidRDefault="009657F0" w:rsidP="005D48F6">
    <w:pPr>
      <w:pStyle w:val="Stopka"/>
      <w:tabs>
        <w:tab w:val="clear" w:pos="4536"/>
        <w:tab w:val="left" w:pos="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1FE6D99" wp14:editId="38BF5808">
          <wp:simplePos x="0" y="0"/>
          <wp:positionH relativeFrom="column">
            <wp:posOffset>138383</wp:posOffset>
          </wp:positionH>
          <wp:positionV relativeFrom="paragraph">
            <wp:posOffset>828675</wp:posOffset>
          </wp:positionV>
          <wp:extent cx="5126400" cy="576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4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FA0EF65" wp14:editId="7C0CA9EA">
          <wp:extent cx="5760720" cy="106807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57F0" w:rsidRDefault="009657F0" w:rsidP="009E1DEC">
    <w:pPr>
      <w:pStyle w:val="Stopka"/>
      <w:ind w:left="1560" w:hanging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DA" w:rsidRDefault="003267DA" w:rsidP="008F14F3">
      <w:pPr>
        <w:spacing w:after="0" w:line="240" w:lineRule="auto"/>
      </w:pPr>
      <w:r>
        <w:separator/>
      </w:r>
    </w:p>
  </w:footnote>
  <w:footnote w:type="continuationSeparator" w:id="0">
    <w:p w:rsidR="003267DA" w:rsidRDefault="003267DA" w:rsidP="008F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F0" w:rsidRDefault="009657F0">
    <w:pPr>
      <w:pStyle w:val="Nagwek"/>
    </w:pPr>
    <w:r>
      <w:rPr>
        <w:noProof/>
        <w:lang w:eastAsia="pl-PL"/>
      </w:rPr>
      <w:drawing>
        <wp:inline distT="0" distB="0" distL="0" distR="0" wp14:anchorId="5578864D" wp14:editId="0BC50FDE">
          <wp:extent cx="5577840" cy="513715"/>
          <wp:effectExtent l="0" t="0" r="3810" b="63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784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A4E"/>
    <w:multiLevelType w:val="hybridMultilevel"/>
    <w:tmpl w:val="B88C883A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011C2"/>
    <w:multiLevelType w:val="hybridMultilevel"/>
    <w:tmpl w:val="33FA8942"/>
    <w:lvl w:ilvl="0" w:tplc="D9F62EAC">
      <w:start w:val="2"/>
      <w:numFmt w:val="decimal"/>
      <w:lvlText w:val="Zał. 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139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D51AF1"/>
    <w:multiLevelType w:val="hybridMultilevel"/>
    <w:tmpl w:val="7FE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B317E"/>
    <w:multiLevelType w:val="hybridMultilevel"/>
    <w:tmpl w:val="DCAC56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61C0A9E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A064F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D047A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213026"/>
    <w:multiLevelType w:val="multilevel"/>
    <w:tmpl w:val="B7D27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BC254D4"/>
    <w:multiLevelType w:val="hybridMultilevel"/>
    <w:tmpl w:val="1172BB40"/>
    <w:lvl w:ilvl="0" w:tplc="C10ED6A6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63AC8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3A18E9"/>
    <w:multiLevelType w:val="hybridMultilevel"/>
    <w:tmpl w:val="BD3C1F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0DA233B4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1C0CEA"/>
    <w:multiLevelType w:val="hybridMultilevel"/>
    <w:tmpl w:val="2A48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A5E80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874DD"/>
    <w:multiLevelType w:val="hybridMultilevel"/>
    <w:tmpl w:val="36DC1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C2BC5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B74C3F"/>
    <w:multiLevelType w:val="multilevel"/>
    <w:tmpl w:val="E2A43B9A"/>
    <w:lvl w:ilvl="0">
      <w:start w:val="1"/>
      <w:numFmt w:val="decimal"/>
      <w:pStyle w:val="Punktator1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rFonts w:hint="default"/>
      </w:rPr>
    </w:lvl>
  </w:abstractNum>
  <w:abstractNum w:abstractNumId="18">
    <w:nsid w:val="1A7A7C80"/>
    <w:multiLevelType w:val="hybridMultilevel"/>
    <w:tmpl w:val="3D9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F744FE"/>
    <w:multiLevelType w:val="hybridMultilevel"/>
    <w:tmpl w:val="D9D8E1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744C2F"/>
    <w:multiLevelType w:val="hybridMultilevel"/>
    <w:tmpl w:val="B3D0B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367C7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D50528"/>
    <w:multiLevelType w:val="hybridMultilevel"/>
    <w:tmpl w:val="107E1C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576961"/>
    <w:multiLevelType w:val="multilevel"/>
    <w:tmpl w:val="D3A871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90D1A74"/>
    <w:multiLevelType w:val="hybridMultilevel"/>
    <w:tmpl w:val="17126130"/>
    <w:lvl w:ilvl="0" w:tplc="D3A610EE">
      <w:start w:val="1"/>
      <w:numFmt w:val="lowerLetter"/>
      <w:lvlText w:val="%1)"/>
      <w:lvlJc w:val="left"/>
      <w:pPr>
        <w:ind w:left="1068" w:hanging="360"/>
      </w:pPr>
      <w:rPr>
        <w:rFonts w:ascii="Myriad Pro Light SemiExt" w:eastAsia="Times New Roman" w:hAnsi="Myriad Pro Light SemiEx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CF86E08"/>
    <w:multiLevelType w:val="hybridMultilevel"/>
    <w:tmpl w:val="027C9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D8C15EB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F910E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CD55FC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EE23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21F146E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9CC17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F04277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B445815"/>
    <w:multiLevelType w:val="multilevel"/>
    <w:tmpl w:val="BCF80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3C7F0C17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E841BF8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21F5FC1"/>
    <w:multiLevelType w:val="multilevel"/>
    <w:tmpl w:val="8CD44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42946DA1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3EA388A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69C0E36"/>
    <w:multiLevelType w:val="multilevel"/>
    <w:tmpl w:val="3912E7C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cs="Times New Roman" w:hint="default"/>
        <w:b w:val="0"/>
        <w:i w:val="0"/>
        <w:sz w:val="22"/>
      </w:rPr>
    </w:lvl>
    <w:lvl w:ilvl="1">
      <w:start w:val="1"/>
      <w:numFmt w:val="lowerLetter"/>
      <w:pStyle w:val="level9"/>
      <w:lvlText w:val="%2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93"/>
        </w:tabs>
        <w:ind w:left="119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13"/>
        </w:tabs>
        <w:ind w:left="191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73"/>
        </w:tabs>
        <w:ind w:left="227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cs="Times New Roman" w:hint="default"/>
      </w:rPr>
    </w:lvl>
  </w:abstractNum>
  <w:abstractNum w:abstractNumId="40">
    <w:nsid w:val="46B13455"/>
    <w:multiLevelType w:val="multilevel"/>
    <w:tmpl w:val="AA506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496B59F0"/>
    <w:multiLevelType w:val="multilevel"/>
    <w:tmpl w:val="213C7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4C826A67"/>
    <w:multiLevelType w:val="hybridMultilevel"/>
    <w:tmpl w:val="C4BA9160"/>
    <w:lvl w:ilvl="0" w:tplc="9E1413E2">
      <w:start w:val="1"/>
      <w:numFmt w:val="lowerLetter"/>
      <w:pStyle w:val="normalnyliterowany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DB559B5"/>
    <w:multiLevelType w:val="multilevel"/>
    <w:tmpl w:val="9258C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4E04401B"/>
    <w:multiLevelType w:val="hybridMultilevel"/>
    <w:tmpl w:val="0FF47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06579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F774140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14D4AE2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35772F4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A8563AC"/>
    <w:multiLevelType w:val="hybridMultilevel"/>
    <w:tmpl w:val="AC2A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6C08C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8C4544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08A4635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0C825DF"/>
    <w:multiLevelType w:val="hybridMultilevel"/>
    <w:tmpl w:val="624ECB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7F450D2"/>
    <w:multiLevelType w:val="multilevel"/>
    <w:tmpl w:val="3BCEA1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6BD62CD5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C013B82"/>
    <w:multiLevelType w:val="hybridMultilevel"/>
    <w:tmpl w:val="D4FA19BE"/>
    <w:lvl w:ilvl="0" w:tplc="CBF04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D2A3F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71B57550"/>
    <w:multiLevelType w:val="multilevel"/>
    <w:tmpl w:val="AC441E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76670D03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356F5F"/>
    <w:multiLevelType w:val="hybridMultilevel"/>
    <w:tmpl w:val="942C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DB0F51"/>
    <w:multiLevelType w:val="hybridMultilevel"/>
    <w:tmpl w:val="5B1A8C76"/>
    <w:lvl w:ilvl="0" w:tplc="0415000F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7660DF4">
      <w:start w:val="1"/>
      <w:numFmt w:val="bullet"/>
      <w:lvlText w:val=""/>
      <w:lvlJc w:val="right"/>
      <w:pPr>
        <w:ind w:left="1478" w:hanging="360"/>
      </w:pPr>
      <w:rPr>
        <w:rFonts w:ascii="Symbol" w:hAnsi="Symbol" w:hint="default"/>
      </w:rPr>
    </w:lvl>
    <w:lvl w:ilvl="2" w:tplc="3F7AA096">
      <w:start w:val="1"/>
      <w:numFmt w:val="decimal"/>
      <w:lvlText w:val="Zał. %3."/>
      <w:lvlJc w:val="left"/>
      <w:pPr>
        <w:ind w:left="3338" w:hanging="360"/>
      </w:pPr>
      <w:rPr>
        <w:rFonts w:hint="default"/>
        <w:b/>
        <w:sz w:val="22"/>
        <w:lang w:val="pl-PL"/>
      </w:rPr>
    </w:lvl>
    <w:lvl w:ilvl="3" w:tplc="30B2A53E">
      <w:start w:val="1"/>
      <w:numFmt w:val="decimal"/>
      <w:lvlText w:val="%4."/>
      <w:lvlJc w:val="left"/>
      <w:pPr>
        <w:ind w:left="291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1">
    <w:nsid w:val="7B374D40"/>
    <w:multiLevelType w:val="hybridMultilevel"/>
    <w:tmpl w:val="CA20A708"/>
    <w:lvl w:ilvl="0" w:tplc="37A8A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B2066B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CC26326"/>
    <w:multiLevelType w:val="hybridMultilevel"/>
    <w:tmpl w:val="822EC4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E91526E"/>
    <w:multiLevelType w:val="hybridMultilevel"/>
    <w:tmpl w:val="A8D214D8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F6D484B"/>
    <w:multiLevelType w:val="hybridMultilevel"/>
    <w:tmpl w:val="12521828"/>
    <w:lvl w:ilvl="0" w:tplc="740EC612">
      <w:start w:val="3"/>
      <w:numFmt w:val="lowerLetter"/>
      <w:pStyle w:val="Literatora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3"/>
  </w:num>
  <w:num w:numId="2">
    <w:abstractNumId w:val="29"/>
  </w:num>
  <w:num w:numId="3">
    <w:abstractNumId w:val="63"/>
  </w:num>
  <w:num w:numId="4">
    <w:abstractNumId w:val="42"/>
  </w:num>
  <w:num w:numId="5">
    <w:abstractNumId w:val="24"/>
  </w:num>
  <w:num w:numId="6">
    <w:abstractNumId w:val="39"/>
  </w:num>
  <w:num w:numId="7">
    <w:abstractNumId w:val="65"/>
  </w:num>
  <w:num w:numId="8">
    <w:abstractNumId w:val="4"/>
  </w:num>
  <w:num w:numId="9">
    <w:abstractNumId w:val="9"/>
  </w:num>
  <w:num w:numId="10">
    <w:abstractNumId w:val="60"/>
  </w:num>
  <w:num w:numId="11">
    <w:abstractNumId w:val="1"/>
  </w:num>
  <w:num w:numId="12">
    <w:abstractNumId w:val="36"/>
  </w:num>
  <w:num w:numId="13">
    <w:abstractNumId w:val="47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49"/>
  </w:num>
  <w:num w:numId="17">
    <w:abstractNumId w:val="4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7"/>
  </w:num>
  <w:num w:numId="21">
    <w:abstractNumId w:val="32"/>
  </w:num>
  <w:num w:numId="22">
    <w:abstractNumId w:val="59"/>
  </w:num>
  <w:num w:numId="23">
    <w:abstractNumId w:val="3"/>
  </w:num>
  <w:num w:numId="24">
    <w:abstractNumId w:val="11"/>
  </w:num>
  <w:num w:numId="25">
    <w:abstractNumId w:val="6"/>
  </w:num>
  <w:num w:numId="26">
    <w:abstractNumId w:val="26"/>
  </w:num>
  <w:num w:numId="27">
    <w:abstractNumId w:val="5"/>
  </w:num>
  <w:num w:numId="28">
    <w:abstractNumId w:val="51"/>
  </w:num>
  <w:num w:numId="29">
    <w:abstractNumId w:val="5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0"/>
  </w:num>
  <w:num w:numId="33">
    <w:abstractNumId w:val="35"/>
  </w:num>
  <w:num w:numId="34">
    <w:abstractNumId w:val="52"/>
  </w:num>
  <w:num w:numId="35">
    <w:abstractNumId w:val="7"/>
  </w:num>
  <w:num w:numId="36">
    <w:abstractNumId w:val="50"/>
  </w:num>
  <w:num w:numId="37">
    <w:abstractNumId w:val="14"/>
  </w:num>
  <w:num w:numId="38">
    <w:abstractNumId w:val="25"/>
  </w:num>
  <w:num w:numId="39">
    <w:abstractNumId w:val="54"/>
  </w:num>
  <w:num w:numId="40">
    <w:abstractNumId w:val="18"/>
  </w:num>
  <w:num w:numId="41">
    <w:abstractNumId w:val="33"/>
  </w:num>
  <w:num w:numId="42">
    <w:abstractNumId w:val="41"/>
  </w:num>
  <w:num w:numId="43">
    <w:abstractNumId w:val="19"/>
  </w:num>
  <w:num w:numId="44">
    <w:abstractNumId w:val="8"/>
  </w:num>
  <w:num w:numId="45">
    <w:abstractNumId w:val="23"/>
  </w:num>
  <w:num w:numId="46">
    <w:abstractNumId w:val="16"/>
  </w:num>
  <w:num w:numId="47">
    <w:abstractNumId w:val="40"/>
  </w:num>
  <w:num w:numId="48">
    <w:abstractNumId w:val="64"/>
  </w:num>
  <w:num w:numId="49">
    <w:abstractNumId w:val="22"/>
  </w:num>
  <w:num w:numId="50">
    <w:abstractNumId w:val="34"/>
  </w:num>
  <w:num w:numId="51">
    <w:abstractNumId w:val="62"/>
  </w:num>
  <w:num w:numId="52">
    <w:abstractNumId w:val="48"/>
  </w:num>
  <w:num w:numId="53">
    <w:abstractNumId w:val="46"/>
  </w:num>
  <w:num w:numId="54">
    <w:abstractNumId w:val="38"/>
  </w:num>
  <w:num w:numId="55">
    <w:abstractNumId w:val="57"/>
  </w:num>
  <w:num w:numId="56">
    <w:abstractNumId w:val="45"/>
  </w:num>
  <w:num w:numId="57">
    <w:abstractNumId w:val="10"/>
  </w:num>
  <w:num w:numId="58">
    <w:abstractNumId w:val="31"/>
  </w:num>
  <w:num w:numId="59">
    <w:abstractNumId w:val="27"/>
  </w:num>
  <w:num w:numId="60">
    <w:abstractNumId w:val="2"/>
  </w:num>
  <w:num w:numId="61">
    <w:abstractNumId w:val="21"/>
  </w:num>
  <w:num w:numId="62">
    <w:abstractNumId w:val="13"/>
  </w:num>
  <w:num w:numId="63">
    <w:abstractNumId w:val="58"/>
  </w:num>
  <w:num w:numId="64">
    <w:abstractNumId w:val="43"/>
  </w:num>
  <w:num w:numId="65">
    <w:abstractNumId w:val="0"/>
  </w:num>
  <w:num w:numId="66">
    <w:abstractNumId w:val="15"/>
  </w:num>
  <w:num w:numId="67">
    <w:abstractNumId w:val="61"/>
  </w:num>
  <w:num w:numId="68">
    <w:abstractNumId w:val="20"/>
  </w:num>
  <w:num w:numId="69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3"/>
    <w:rsid w:val="000012FE"/>
    <w:rsid w:val="00031C50"/>
    <w:rsid w:val="000320B2"/>
    <w:rsid w:val="000331E1"/>
    <w:rsid w:val="000409AF"/>
    <w:rsid w:val="00057110"/>
    <w:rsid w:val="000627AB"/>
    <w:rsid w:val="00071D2B"/>
    <w:rsid w:val="000722B6"/>
    <w:rsid w:val="00077103"/>
    <w:rsid w:val="00077C64"/>
    <w:rsid w:val="00080783"/>
    <w:rsid w:val="00090384"/>
    <w:rsid w:val="000943E4"/>
    <w:rsid w:val="000A03DC"/>
    <w:rsid w:val="000B4A9C"/>
    <w:rsid w:val="000B5CA8"/>
    <w:rsid w:val="000C1C74"/>
    <w:rsid w:val="000C3DC4"/>
    <w:rsid w:val="000C562A"/>
    <w:rsid w:val="000C6BC4"/>
    <w:rsid w:val="000E2FB1"/>
    <w:rsid w:val="000E67A4"/>
    <w:rsid w:val="000F0849"/>
    <w:rsid w:val="000F218B"/>
    <w:rsid w:val="000F260B"/>
    <w:rsid w:val="000F3472"/>
    <w:rsid w:val="000F4407"/>
    <w:rsid w:val="000F7FF6"/>
    <w:rsid w:val="001025B8"/>
    <w:rsid w:val="00110C3C"/>
    <w:rsid w:val="001141A5"/>
    <w:rsid w:val="001250C2"/>
    <w:rsid w:val="001476F6"/>
    <w:rsid w:val="00152E1A"/>
    <w:rsid w:val="00153AEC"/>
    <w:rsid w:val="00173796"/>
    <w:rsid w:val="00191BC2"/>
    <w:rsid w:val="00195121"/>
    <w:rsid w:val="001A6622"/>
    <w:rsid w:val="001A7A0B"/>
    <w:rsid w:val="001B016D"/>
    <w:rsid w:val="001B175E"/>
    <w:rsid w:val="001C1381"/>
    <w:rsid w:val="001C15EE"/>
    <w:rsid w:val="001D0990"/>
    <w:rsid w:val="001F0882"/>
    <w:rsid w:val="00207DCA"/>
    <w:rsid w:val="002159C4"/>
    <w:rsid w:val="00235C12"/>
    <w:rsid w:val="00247C94"/>
    <w:rsid w:val="002535D7"/>
    <w:rsid w:val="002645FA"/>
    <w:rsid w:val="00264D87"/>
    <w:rsid w:val="00265B14"/>
    <w:rsid w:val="00274A2A"/>
    <w:rsid w:val="00285959"/>
    <w:rsid w:val="00285A53"/>
    <w:rsid w:val="002876B7"/>
    <w:rsid w:val="002A5530"/>
    <w:rsid w:val="002B37DF"/>
    <w:rsid w:val="002B4316"/>
    <w:rsid w:val="002C4E7E"/>
    <w:rsid w:val="002E73E4"/>
    <w:rsid w:val="002F06EF"/>
    <w:rsid w:val="00301E5C"/>
    <w:rsid w:val="00304162"/>
    <w:rsid w:val="00312042"/>
    <w:rsid w:val="0031337D"/>
    <w:rsid w:val="003159C7"/>
    <w:rsid w:val="00315D02"/>
    <w:rsid w:val="003267DA"/>
    <w:rsid w:val="00327517"/>
    <w:rsid w:val="00330ED4"/>
    <w:rsid w:val="0034235E"/>
    <w:rsid w:val="00345B49"/>
    <w:rsid w:val="003462E2"/>
    <w:rsid w:val="00350D92"/>
    <w:rsid w:val="00352CC3"/>
    <w:rsid w:val="003732A0"/>
    <w:rsid w:val="003B08A4"/>
    <w:rsid w:val="003B243F"/>
    <w:rsid w:val="003C0775"/>
    <w:rsid w:val="003C1696"/>
    <w:rsid w:val="003C29A9"/>
    <w:rsid w:val="003C3229"/>
    <w:rsid w:val="003C5027"/>
    <w:rsid w:val="003D2134"/>
    <w:rsid w:val="003D414D"/>
    <w:rsid w:val="003E5B9A"/>
    <w:rsid w:val="003E5EC0"/>
    <w:rsid w:val="003E7B44"/>
    <w:rsid w:val="003F3EB6"/>
    <w:rsid w:val="00424DC1"/>
    <w:rsid w:val="00436C8D"/>
    <w:rsid w:val="00440EBE"/>
    <w:rsid w:val="00443B78"/>
    <w:rsid w:val="004528B0"/>
    <w:rsid w:val="0046166E"/>
    <w:rsid w:val="00462FCB"/>
    <w:rsid w:val="00464759"/>
    <w:rsid w:val="00486415"/>
    <w:rsid w:val="00497F87"/>
    <w:rsid w:val="004A0083"/>
    <w:rsid w:val="004B0009"/>
    <w:rsid w:val="004B45EE"/>
    <w:rsid w:val="004B7CE4"/>
    <w:rsid w:val="004C3DC0"/>
    <w:rsid w:val="004C3F25"/>
    <w:rsid w:val="004D1279"/>
    <w:rsid w:val="004D3996"/>
    <w:rsid w:val="004F444D"/>
    <w:rsid w:val="00502569"/>
    <w:rsid w:val="0051143D"/>
    <w:rsid w:val="00511E5F"/>
    <w:rsid w:val="00513E84"/>
    <w:rsid w:val="0052233C"/>
    <w:rsid w:val="0052343E"/>
    <w:rsid w:val="005423B3"/>
    <w:rsid w:val="00543203"/>
    <w:rsid w:val="00547C21"/>
    <w:rsid w:val="0055045E"/>
    <w:rsid w:val="0055125C"/>
    <w:rsid w:val="00551B4F"/>
    <w:rsid w:val="00564B66"/>
    <w:rsid w:val="005809AA"/>
    <w:rsid w:val="005855C5"/>
    <w:rsid w:val="005C1210"/>
    <w:rsid w:val="005D3B67"/>
    <w:rsid w:val="005D48F6"/>
    <w:rsid w:val="005E495B"/>
    <w:rsid w:val="005E544B"/>
    <w:rsid w:val="005F5F6F"/>
    <w:rsid w:val="00604FAA"/>
    <w:rsid w:val="006142F7"/>
    <w:rsid w:val="0063301A"/>
    <w:rsid w:val="00640483"/>
    <w:rsid w:val="00651DAF"/>
    <w:rsid w:val="006634C0"/>
    <w:rsid w:val="00666313"/>
    <w:rsid w:val="00666A8C"/>
    <w:rsid w:val="00667F10"/>
    <w:rsid w:val="00671F9D"/>
    <w:rsid w:val="00680B60"/>
    <w:rsid w:val="0068455E"/>
    <w:rsid w:val="00685E27"/>
    <w:rsid w:val="00693578"/>
    <w:rsid w:val="0069639F"/>
    <w:rsid w:val="00696437"/>
    <w:rsid w:val="006A1C78"/>
    <w:rsid w:val="006A4AA4"/>
    <w:rsid w:val="006A642A"/>
    <w:rsid w:val="006B7F5A"/>
    <w:rsid w:val="006C2D4B"/>
    <w:rsid w:val="006D5724"/>
    <w:rsid w:val="007033AD"/>
    <w:rsid w:val="00703FCD"/>
    <w:rsid w:val="00704A0D"/>
    <w:rsid w:val="00712430"/>
    <w:rsid w:val="00714622"/>
    <w:rsid w:val="00715CF8"/>
    <w:rsid w:val="00715E6C"/>
    <w:rsid w:val="00735498"/>
    <w:rsid w:val="0074321D"/>
    <w:rsid w:val="00744A6E"/>
    <w:rsid w:val="00752B5C"/>
    <w:rsid w:val="00756BCD"/>
    <w:rsid w:val="00765BD1"/>
    <w:rsid w:val="0077356F"/>
    <w:rsid w:val="007749CB"/>
    <w:rsid w:val="007867CD"/>
    <w:rsid w:val="00791C65"/>
    <w:rsid w:val="007957FE"/>
    <w:rsid w:val="007A127D"/>
    <w:rsid w:val="007A475C"/>
    <w:rsid w:val="007E6224"/>
    <w:rsid w:val="007F76EE"/>
    <w:rsid w:val="007F7B76"/>
    <w:rsid w:val="00806658"/>
    <w:rsid w:val="0081163F"/>
    <w:rsid w:val="00814E51"/>
    <w:rsid w:val="0083337D"/>
    <w:rsid w:val="00845752"/>
    <w:rsid w:val="00854BE7"/>
    <w:rsid w:val="00863C83"/>
    <w:rsid w:val="0086496A"/>
    <w:rsid w:val="00864BE6"/>
    <w:rsid w:val="00870B7E"/>
    <w:rsid w:val="00873D04"/>
    <w:rsid w:val="00877596"/>
    <w:rsid w:val="0088241C"/>
    <w:rsid w:val="008853AE"/>
    <w:rsid w:val="00887958"/>
    <w:rsid w:val="008A2ABB"/>
    <w:rsid w:val="008A32AA"/>
    <w:rsid w:val="008A600D"/>
    <w:rsid w:val="008A6D94"/>
    <w:rsid w:val="008B53DD"/>
    <w:rsid w:val="008B6A30"/>
    <w:rsid w:val="008C7FA1"/>
    <w:rsid w:val="008D6C43"/>
    <w:rsid w:val="008E0439"/>
    <w:rsid w:val="008F14F3"/>
    <w:rsid w:val="00900AB6"/>
    <w:rsid w:val="00907578"/>
    <w:rsid w:val="00910C11"/>
    <w:rsid w:val="00937CDE"/>
    <w:rsid w:val="0095434B"/>
    <w:rsid w:val="0095691F"/>
    <w:rsid w:val="009657F0"/>
    <w:rsid w:val="00966F2F"/>
    <w:rsid w:val="0097383C"/>
    <w:rsid w:val="0098104F"/>
    <w:rsid w:val="009847D6"/>
    <w:rsid w:val="00987D69"/>
    <w:rsid w:val="00990DE4"/>
    <w:rsid w:val="00997782"/>
    <w:rsid w:val="009A7B5C"/>
    <w:rsid w:val="009C0680"/>
    <w:rsid w:val="009D49B9"/>
    <w:rsid w:val="009E09D7"/>
    <w:rsid w:val="009E1DEC"/>
    <w:rsid w:val="009E25A6"/>
    <w:rsid w:val="009E64E1"/>
    <w:rsid w:val="009F2343"/>
    <w:rsid w:val="00A10F24"/>
    <w:rsid w:val="00A24053"/>
    <w:rsid w:val="00A25059"/>
    <w:rsid w:val="00A31F94"/>
    <w:rsid w:val="00A37030"/>
    <w:rsid w:val="00A3777E"/>
    <w:rsid w:val="00A553B3"/>
    <w:rsid w:val="00A62ACB"/>
    <w:rsid w:val="00A6499D"/>
    <w:rsid w:val="00A71B07"/>
    <w:rsid w:val="00A80FED"/>
    <w:rsid w:val="00A81063"/>
    <w:rsid w:val="00AB6168"/>
    <w:rsid w:val="00AC1FDA"/>
    <w:rsid w:val="00AC4C15"/>
    <w:rsid w:val="00AC7B2B"/>
    <w:rsid w:val="00AE01B0"/>
    <w:rsid w:val="00AE5B2D"/>
    <w:rsid w:val="00AF276D"/>
    <w:rsid w:val="00B10A36"/>
    <w:rsid w:val="00B11776"/>
    <w:rsid w:val="00B1658A"/>
    <w:rsid w:val="00B23CEF"/>
    <w:rsid w:val="00B25EC1"/>
    <w:rsid w:val="00B30A17"/>
    <w:rsid w:val="00B31250"/>
    <w:rsid w:val="00B32537"/>
    <w:rsid w:val="00B32BA2"/>
    <w:rsid w:val="00B33021"/>
    <w:rsid w:val="00B3362E"/>
    <w:rsid w:val="00B55C15"/>
    <w:rsid w:val="00B63902"/>
    <w:rsid w:val="00B7164E"/>
    <w:rsid w:val="00B74118"/>
    <w:rsid w:val="00B81ADF"/>
    <w:rsid w:val="00B90307"/>
    <w:rsid w:val="00B9732C"/>
    <w:rsid w:val="00BC1330"/>
    <w:rsid w:val="00BC33BD"/>
    <w:rsid w:val="00BD0877"/>
    <w:rsid w:val="00BD419B"/>
    <w:rsid w:val="00BE13A7"/>
    <w:rsid w:val="00BF1A26"/>
    <w:rsid w:val="00C01866"/>
    <w:rsid w:val="00C111EE"/>
    <w:rsid w:val="00C126FB"/>
    <w:rsid w:val="00C2050C"/>
    <w:rsid w:val="00C368D2"/>
    <w:rsid w:val="00C45C45"/>
    <w:rsid w:val="00C773DA"/>
    <w:rsid w:val="00C807E9"/>
    <w:rsid w:val="00C87E4B"/>
    <w:rsid w:val="00CA2F83"/>
    <w:rsid w:val="00CA3153"/>
    <w:rsid w:val="00CB6294"/>
    <w:rsid w:val="00CF6E5D"/>
    <w:rsid w:val="00D07EE7"/>
    <w:rsid w:val="00D13EA1"/>
    <w:rsid w:val="00D14B14"/>
    <w:rsid w:val="00D24A49"/>
    <w:rsid w:val="00D3492C"/>
    <w:rsid w:val="00D36CC9"/>
    <w:rsid w:val="00D419F2"/>
    <w:rsid w:val="00D41A41"/>
    <w:rsid w:val="00D761DA"/>
    <w:rsid w:val="00D80A37"/>
    <w:rsid w:val="00D8359F"/>
    <w:rsid w:val="00D85B44"/>
    <w:rsid w:val="00D90139"/>
    <w:rsid w:val="00DB090D"/>
    <w:rsid w:val="00DB19CF"/>
    <w:rsid w:val="00DC4C6C"/>
    <w:rsid w:val="00DC7E1B"/>
    <w:rsid w:val="00DE04DF"/>
    <w:rsid w:val="00DE422B"/>
    <w:rsid w:val="00DF1CE3"/>
    <w:rsid w:val="00DF548A"/>
    <w:rsid w:val="00DF6160"/>
    <w:rsid w:val="00E029B7"/>
    <w:rsid w:val="00E05EA7"/>
    <w:rsid w:val="00E226BF"/>
    <w:rsid w:val="00E260AF"/>
    <w:rsid w:val="00E26C78"/>
    <w:rsid w:val="00E30DE6"/>
    <w:rsid w:val="00E37DB5"/>
    <w:rsid w:val="00E524C7"/>
    <w:rsid w:val="00E57E1B"/>
    <w:rsid w:val="00E61C87"/>
    <w:rsid w:val="00E7223B"/>
    <w:rsid w:val="00E73E79"/>
    <w:rsid w:val="00E776CF"/>
    <w:rsid w:val="00E86ADB"/>
    <w:rsid w:val="00E8791B"/>
    <w:rsid w:val="00E91FA6"/>
    <w:rsid w:val="00E92A97"/>
    <w:rsid w:val="00E962BA"/>
    <w:rsid w:val="00EA625A"/>
    <w:rsid w:val="00EB1D84"/>
    <w:rsid w:val="00EB3397"/>
    <w:rsid w:val="00EB6D5C"/>
    <w:rsid w:val="00EB6DB8"/>
    <w:rsid w:val="00EC7B32"/>
    <w:rsid w:val="00EC7D07"/>
    <w:rsid w:val="00ED1AC8"/>
    <w:rsid w:val="00ED46AA"/>
    <w:rsid w:val="00EE0608"/>
    <w:rsid w:val="00EE5633"/>
    <w:rsid w:val="00EE73B1"/>
    <w:rsid w:val="00EF0A1B"/>
    <w:rsid w:val="00EF7332"/>
    <w:rsid w:val="00F10A92"/>
    <w:rsid w:val="00F17F74"/>
    <w:rsid w:val="00F33D3A"/>
    <w:rsid w:val="00F5440D"/>
    <w:rsid w:val="00F61303"/>
    <w:rsid w:val="00F62E2D"/>
    <w:rsid w:val="00F73B42"/>
    <w:rsid w:val="00F763C4"/>
    <w:rsid w:val="00FA793E"/>
    <w:rsid w:val="00FC7C18"/>
    <w:rsid w:val="00FD1EFF"/>
    <w:rsid w:val="00FD2FB2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OPZ_poz.1,nagłówek1,ASAPHeading 1,PA Chapter,Headline 1,nagłówek 1,Heading 1 Char Char Char,Heading 1 Char Char1,Heading 1 Char Char,CAPÍTULO"/>
    <w:basedOn w:val="Normalny"/>
    <w:next w:val="Normalny"/>
    <w:link w:val="Nagwek1Znak"/>
    <w:qFormat/>
    <w:rsid w:val="00D3492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styleId="Nagwek2">
    <w:name w:val="heading 2"/>
    <w:aliases w:val="OPZ_poz.2,ASAPHeading 2,Numbered - 2,h 3,ICL,Heading 2a,H2,PA Major Section,l2,Headline 2,2,headi,heading2,h21,h22,21,kopregel 2,Titre m,Punktowanie PB (1,3),Heading 2 CharA,Heading 2 Char Char Char,Heading 2 Char Char Char Char Char,Title2"/>
    <w:basedOn w:val="Nagwek1"/>
    <w:next w:val="Normalny"/>
    <w:link w:val="Nagwek2Znak"/>
    <w:qFormat/>
    <w:rsid w:val="00D3492C"/>
    <w:pPr>
      <w:numPr>
        <w:ilvl w:val="1"/>
        <w:numId w:val="1"/>
      </w:numPr>
      <w:outlineLvl w:val="1"/>
    </w:pPr>
  </w:style>
  <w:style w:type="paragraph" w:styleId="Nagwek3">
    <w:name w:val="heading 3"/>
    <w:aliases w:val="Title3,Paragraf"/>
    <w:basedOn w:val="Normalny"/>
    <w:next w:val="Normalny"/>
    <w:link w:val="Nagwek3Znak"/>
    <w:uiPriority w:val="9"/>
    <w:unhideWhenUsed/>
    <w:qFormat/>
    <w:rsid w:val="00D3492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aliases w:val="Nagłówek 4 - 4 liczby"/>
    <w:basedOn w:val="Normalny"/>
    <w:next w:val="Normalny"/>
    <w:link w:val="Nagwek4Znak"/>
    <w:uiPriority w:val="9"/>
    <w:qFormat/>
    <w:rsid w:val="00D3492C"/>
    <w:pPr>
      <w:keepNext/>
      <w:spacing w:before="24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4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4F3"/>
  </w:style>
  <w:style w:type="paragraph" w:styleId="Stopka">
    <w:name w:val="footer"/>
    <w:basedOn w:val="Normalny"/>
    <w:link w:val="StopkaZnak"/>
    <w:uiPriority w:val="99"/>
    <w:unhideWhenUsed/>
    <w:rsid w:val="008F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4F3"/>
  </w:style>
  <w:style w:type="paragraph" w:styleId="Tekstdymka">
    <w:name w:val="Balloon Text"/>
    <w:basedOn w:val="Normalny"/>
    <w:link w:val="TekstdymkaZnak"/>
    <w:uiPriority w:val="99"/>
    <w:semiHidden/>
    <w:unhideWhenUsed/>
    <w:rsid w:val="008F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4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1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OPZ_poz.1 Znak,nagłówek1 Znak,ASAPHeading 1 Znak,PA Chapter Znak,Headline 1 Znak,nagłówek 1 Znak,Heading 1 Char Char Char Znak,Heading 1 Char Char1 Znak,Heading 1 Char Char Znak,CAPÍTULO Znak"/>
    <w:basedOn w:val="Domylnaczcionkaakapitu"/>
    <w:link w:val="Nagwek1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2Znak">
    <w:name w:val="Nagłówek 2 Znak"/>
    <w:aliases w:val="OPZ_poz.2 Znak,ASAPHeading 2 Znak,Numbered - 2 Znak,h 3 Znak,ICL Znak,Heading 2a Znak,H2 Znak,PA Major Section Znak,l2 Znak,Headline 2 Znak,2 Znak,headi Znak,heading2 Znak,h21 Znak,h22 Znak,21 Znak,kopregel 2 Znak,Titre m Znak,3) Znak"/>
    <w:basedOn w:val="Domylnaczcionkaakapitu"/>
    <w:link w:val="Nagwek2"/>
    <w:rsid w:val="00D3492C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3Znak">
    <w:name w:val="Nagłówek 3 Znak"/>
    <w:aliases w:val="Title3 Znak,Paragraf Znak"/>
    <w:basedOn w:val="Domylnaczcionkaakapitu"/>
    <w:link w:val="Nagwek3"/>
    <w:uiPriority w:val="9"/>
    <w:rsid w:val="00D349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aliases w:val="Nagłówek 4 - 4 liczby Znak"/>
    <w:basedOn w:val="Domylnaczcionkaakapitu"/>
    <w:link w:val="Nagwek4"/>
    <w:uiPriority w:val="9"/>
    <w:rsid w:val="00D3492C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492C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listy1">
    <w:name w:val="Bez listy1"/>
    <w:next w:val="Bezlisty"/>
    <w:uiPriority w:val="99"/>
    <w:semiHidden/>
    <w:unhideWhenUsed/>
    <w:rsid w:val="00D3492C"/>
  </w:style>
  <w:style w:type="numbering" w:customStyle="1" w:styleId="Bezlisty11">
    <w:name w:val="Bez listy11"/>
    <w:next w:val="Bezlisty"/>
    <w:uiPriority w:val="99"/>
    <w:semiHidden/>
    <w:unhideWhenUsed/>
    <w:rsid w:val="00D3492C"/>
  </w:style>
  <w:style w:type="paragraph" w:customStyle="1" w:styleId="Default">
    <w:name w:val="Default"/>
    <w:rsid w:val="00D3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Obiekt,List Paragraph1,List Paragraph,BulletC"/>
    <w:basedOn w:val="Normalny"/>
    <w:link w:val="AkapitzlistZnak"/>
    <w:uiPriority w:val="34"/>
    <w:qFormat/>
    <w:rsid w:val="00D349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34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92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9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9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92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3492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D3492C"/>
    <w:pPr>
      <w:spacing w:after="60" w:line="240" w:lineRule="auto"/>
      <w:ind w:firstLine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92C"/>
    <w:rPr>
      <w:rFonts w:ascii="Arial" w:eastAsia="Times New Roman" w:hAnsi="Arial" w:cs="Times New Roman"/>
      <w:sz w:val="24"/>
      <w:lang w:eastAsia="pl-PL"/>
    </w:rPr>
  </w:style>
  <w:style w:type="character" w:styleId="Tytuksiki">
    <w:name w:val="Book Title"/>
    <w:uiPriority w:val="33"/>
    <w:qFormat/>
    <w:rsid w:val="00D3492C"/>
    <w:rPr>
      <w:b/>
      <w:bCs/>
      <w:smallCaps/>
      <w:spacing w:val="5"/>
    </w:rPr>
  </w:style>
  <w:style w:type="character" w:customStyle="1" w:styleId="AkapitzlistZnak">
    <w:name w:val="Akapit z listą Znak"/>
    <w:aliases w:val="Obiekt Znak,List Paragraph1 Znak,List Paragraph Znak,BulletC Znak"/>
    <w:link w:val="Akapitzlist"/>
    <w:uiPriority w:val="34"/>
    <w:rsid w:val="00D3492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3492C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492C"/>
    <w:rPr>
      <w:rFonts w:ascii="Calibri" w:eastAsia="Calibri" w:hAnsi="Calibri" w:cs="Times New Roman"/>
    </w:rPr>
  </w:style>
  <w:style w:type="paragraph" w:customStyle="1" w:styleId="Normalnypunktowany">
    <w:name w:val="Normalny punktowany"/>
    <w:basedOn w:val="Akapitzlist"/>
    <w:link w:val="NormalnypunktowanyZnak"/>
    <w:qFormat/>
    <w:rsid w:val="00D3492C"/>
    <w:pPr>
      <w:spacing w:after="60" w:line="240" w:lineRule="auto"/>
      <w:ind w:left="0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punktowanyZnak">
    <w:name w:val="Normalny punktowany Znak"/>
    <w:link w:val="Normalnypunktowany"/>
    <w:rsid w:val="00D3492C"/>
    <w:rPr>
      <w:rFonts w:ascii="Arial" w:eastAsia="Times New Roman" w:hAnsi="Arial" w:cs="Times New Roman"/>
      <w:sz w:val="24"/>
      <w:lang w:eastAsia="pl-PL"/>
    </w:rPr>
  </w:style>
  <w:style w:type="paragraph" w:customStyle="1" w:styleId="normalnyliterowany">
    <w:name w:val="normalny literowany"/>
    <w:basedOn w:val="Akapitzlist"/>
    <w:link w:val="normalnyliterowanyZnak"/>
    <w:qFormat/>
    <w:rsid w:val="00D3492C"/>
    <w:pPr>
      <w:numPr>
        <w:numId w:val="4"/>
      </w:numPr>
      <w:spacing w:after="60" w:line="240" w:lineRule="auto"/>
      <w:contextualSpacing w:val="0"/>
      <w:jc w:val="both"/>
    </w:pPr>
    <w:rPr>
      <w:rFonts w:ascii="Arial" w:eastAsia="Times New Roman" w:hAnsi="Arial"/>
      <w:sz w:val="24"/>
      <w:lang w:eastAsia="pl-PL"/>
    </w:rPr>
  </w:style>
  <w:style w:type="character" w:customStyle="1" w:styleId="normalnyliterowanyZnak">
    <w:name w:val="normalny literowany Znak"/>
    <w:link w:val="normalnyliterowany"/>
    <w:rsid w:val="00D3492C"/>
    <w:rPr>
      <w:rFonts w:ascii="Arial" w:eastAsia="Times New Roman" w:hAnsi="Arial" w:cs="Times New Roman"/>
      <w:sz w:val="24"/>
      <w:lang w:eastAsia="pl-PL"/>
    </w:rPr>
  </w:style>
  <w:style w:type="paragraph" w:styleId="Bezodstpw">
    <w:name w:val="No Spacing"/>
    <w:uiPriority w:val="1"/>
    <w:qFormat/>
    <w:rsid w:val="00D3492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D349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9"/>
    <w:basedOn w:val="Normalny"/>
    <w:autoRedefine/>
    <w:rsid w:val="00D3492C"/>
    <w:pPr>
      <w:widowControl w:val="0"/>
      <w:numPr>
        <w:ilvl w:val="1"/>
        <w:numId w:val="6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szCs w:val="20"/>
    </w:rPr>
  </w:style>
  <w:style w:type="paragraph" w:customStyle="1" w:styleId="Akapit">
    <w:name w:val="Akapit"/>
    <w:basedOn w:val="Normalny"/>
    <w:link w:val="AkapitZnak"/>
    <w:qFormat/>
    <w:rsid w:val="00D3492C"/>
    <w:pPr>
      <w:widowControl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basedOn w:val="Domylnaczcionkaakapitu"/>
    <w:link w:val="Akapit"/>
    <w:rsid w:val="00D3492C"/>
    <w:rPr>
      <w:rFonts w:ascii="Arial" w:eastAsia="Times New Roman" w:hAnsi="Arial" w:cs="Arial"/>
      <w:lang w:eastAsia="pl-PL"/>
    </w:rPr>
  </w:style>
  <w:style w:type="paragraph" w:styleId="Legenda">
    <w:name w:val="caption"/>
    <w:aliases w:val="Caption Char1,Caption Char Char,Znak Char Char,Znak Char1 Char,Znak Char,Podpis pod rysunkiem,Nagłówek Tabeli,Nag3ówek Tabeli,Naglówek Tabeli,Nag³ówek Tabeli,Legenda Znak,Legenda Znak Znak Znak,Legenda Znak Znak,Legenda Znak Znak Znak Znak, Znak"/>
    <w:basedOn w:val="Normalny"/>
    <w:next w:val="Normalny"/>
    <w:link w:val="LegendaZnak1"/>
    <w:uiPriority w:val="99"/>
    <w:qFormat/>
    <w:rsid w:val="00D3492C"/>
    <w:pPr>
      <w:tabs>
        <w:tab w:val="left" w:pos="1080"/>
      </w:tabs>
      <w:spacing w:before="60" w:after="60" w:line="260" w:lineRule="atLeast"/>
      <w:ind w:left="1253" w:firstLine="720"/>
      <w:jc w:val="both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LegendaZnak1">
    <w:name w:val="Legenda Znak1"/>
    <w:aliases w:val="Caption Char1 Znak,Caption Char Char Znak,Znak Char Char Znak,Znak Char1 Char Znak,Znak Char Znak,Podpis pod rysunkiem Znak,Nagłówek Tabeli Znak,Nag3ówek Tabeli Znak,Naglówek Tabeli Znak,Nag³ówek Tabeli Znak,Legenda Znak Znak1, Znak Znak"/>
    <w:link w:val="Legenda"/>
    <w:uiPriority w:val="99"/>
    <w:locked/>
    <w:rsid w:val="00D3492C"/>
    <w:rPr>
      <w:rFonts w:ascii="Arial" w:eastAsia="Times New Roman" w:hAnsi="Arial" w:cs="Times New Roman"/>
      <w:b/>
      <w:sz w:val="20"/>
      <w:szCs w:val="20"/>
    </w:rPr>
  </w:style>
  <w:style w:type="paragraph" w:customStyle="1" w:styleId="Literatora">
    <w:name w:val="Literator a)"/>
    <w:basedOn w:val="Akapit"/>
    <w:link w:val="LiteratoraZnak"/>
    <w:qFormat/>
    <w:rsid w:val="00D3492C"/>
    <w:pPr>
      <w:numPr>
        <w:numId w:val="7"/>
      </w:numPr>
      <w:spacing w:before="0" w:after="60"/>
    </w:pPr>
    <w:rPr>
      <w:rFonts w:eastAsia="SimSun"/>
      <w:lang w:eastAsia="hi-IN" w:bidi="hi-IN"/>
    </w:rPr>
  </w:style>
  <w:style w:type="paragraph" w:customStyle="1" w:styleId="Mylnik-">
    <w:name w:val="Myślnik -"/>
    <w:basedOn w:val="Normalny"/>
    <w:link w:val="Mylnik-Znak"/>
    <w:autoRedefine/>
    <w:qFormat/>
    <w:rsid w:val="00D3492C"/>
    <w:pPr>
      <w:widowControl w:val="0"/>
      <w:autoSpaceDE w:val="0"/>
      <w:autoSpaceDN w:val="0"/>
      <w:adjustRightInd w:val="0"/>
      <w:spacing w:after="60"/>
      <w:ind w:left="360"/>
      <w:jc w:val="both"/>
    </w:pPr>
    <w:rPr>
      <w:rFonts w:ascii="Arial" w:eastAsia="Times New Roman" w:hAnsi="Arial" w:cs="Arial"/>
      <w:szCs w:val="18"/>
      <w:lang w:eastAsia="pl-PL"/>
    </w:rPr>
  </w:style>
  <w:style w:type="character" w:customStyle="1" w:styleId="LiteratoraZnak">
    <w:name w:val="Literator a) Znak"/>
    <w:basedOn w:val="AkapitZnak"/>
    <w:link w:val="Literatora"/>
    <w:rsid w:val="00D3492C"/>
    <w:rPr>
      <w:rFonts w:ascii="Arial" w:eastAsia="SimSun" w:hAnsi="Arial" w:cs="Arial"/>
      <w:lang w:eastAsia="hi-IN" w:bidi="hi-IN"/>
    </w:rPr>
  </w:style>
  <w:style w:type="character" w:customStyle="1" w:styleId="Mylnik-Znak">
    <w:name w:val="Myślnik - Znak"/>
    <w:basedOn w:val="Domylnaczcionkaakapitu"/>
    <w:link w:val="Mylnik-"/>
    <w:rsid w:val="00D3492C"/>
    <w:rPr>
      <w:rFonts w:ascii="Arial" w:eastAsia="Times New Roman" w:hAnsi="Arial" w:cs="Arial"/>
      <w:szCs w:val="18"/>
      <w:lang w:eastAsia="pl-PL"/>
    </w:rPr>
  </w:style>
  <w:style w:type="paragraph" w:customStyle="1" w:styleId="literatura">
    <w:name w:val="literatura"/>
    <w:basedOn w:val="Normalny"/>
    <w:rsid w:val="00D3492C"/>
    <w:pPr>
      <w:widowControl w:val="0"/>
      <w:numPr>
        <w:numId w:val="9"/>
      </w:numPr>
      <w:autoSpaceDE w:val="0"/>
      <w:autoSpaceDN w:val="0"/>
      <w:adjustRightInd w:val="0"/>
      <w:spacing w:before="120" w:after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WYGSW6Nagwek">
    <w:name w:val="_WYG_SW_6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WYGSW7Nagwek">
    <w:name w:val="_WYG_SW_7_Nagłówek"/>
    <w:basedOn w:val="Normalny"/>
    <w:next w:val="Normalny"/>
    <w:qFormat/>
    <w:rsid w:val="00D3492C"/>
    <w:pPr>
      <w:spacing w:before="240" w:after="240" w:line="240" w:lineRule="auto"/>
      <w:ind w:left="851" w:hanging="851"/>
      <w:outlineLvl w:val="0"/>
    </w:pPr>
    <w:rPr>
      <w:rFonts w:ascii="Arial" w:eastAsia="Times New Roman" w:hAnsi="Arial" w:cs="Times New Roman"/>
      <w:b/>
      <w:bCs/>
      <w:sz w:val="20"/>
      <w:szCs w:val="32"/>
    </w:rPr>
  </w:style>
  <w:style w:type="paragraph" w:customStyle="1" w:styleId="Punktator1">
    <w:name w:val="Punktator 1)"/>
    <w:basedOn w:val="Normalny"/>
    <w:link w:val="Punktator1Znak"/>
    <w:qFormat/>
    <w:rsid w:val="00D3492C"/>
    <w:pPr>
      <w:widowControl w:val="0"/>
      <w:numPr>
        <w:numId w:val="14"/>
      </w:numPr>
      <w:autoSpaceDE w:val="0"/>
      <w:autoSpaceDN w:val="0"/>
      <w:adjustRightInd w:val="0"/>
      <w:spacing w:after="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D3492C"/>
    <w:rPr>
      <w:rFonts w:ascii="Arial" w:eastAsia="Times New Roman" w:hAnsi="Arial" w:cs="Arial"/>
      <w:lang w:eastAsia="pl-PL" w:bidi="hi-IN"/>
    </w:rPr>
  </w:style>
  <w:style w:type="paragraph" w:styleId="Zwykytekst">
    <w:name w:val="Plain Text"/>
    <w:basedOn w:val="Normalny"/>
    <w:link w:val="ZwykytekstZnak"/>
    <w:uiPriority w:val="99"/>
    <w:rsid w:val="00D3492C"/>
    <w:pPr>
      <w:spacing w:after="0" w:line="240" w:lineRule="auto"/>
      <w:ind w:firstLine="720"/>
      <w:jc w:val="both"/>
    </w:pPr>
    <w:rPr>
      <w:rFonts w:ascii="Courier New" w:eastAsia="Calibri" w:hAnsi="Courier New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492C"/>
    <w:rPr>
      <w:rFonts w:ascii="Courier New" w:eastAsia="Calibri" w:hAnsi="Courier New" w:cs="Times New Roman"/>
      <w:sz w:val="24"/>
    </w:rPr>
  </w:style>
  <w:style w:type="character" w:customStyle="1" w:styleId="st">
    <w:name w:val="st"/>
    <w:basedOn w:val="Domylnaczcionkaakapitu"/>
    <w:uiPriority w:val="99"/>
    <w:rsid w:val="00D3492C"/>
  </w:style>
  <w:style w:type="character" w:styleId="Pogrubienie">
    <w:name w:val="Strong"/>
    <w:qFormat/>
    <w:rsid w:val="00D3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D928-8DA1-4BA0-8FC8-09362345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4080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OBR CTM S.A.</Company>
  <LinksUpToDate>false</LinksUpToDate>
  <CharactersWithSpaces>28509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Mrozińska Kapciak</dc:creator>
  <cp:lastModifiedBy>Piotr Nisgorski</cp:lastModifiedBy>
  <cp:revision>29</cp:revision>
  <cp:lastPrinted>2019-07-08T08:28:00Z</cp:lastPrinted>
  <dcterms:created xsi:type="dcterms:W3CDTF">2019-08-30T05:23:00Z</dcterms:created>
  <dcterms:modified xsi:type="dcterms:W3CDTF">2019-08-30T11:57:00Z</dcterms:modified>
</cp:coreProperties>
</file>