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4E4A" w14:textId="77777777" w:rsidR="00EE7549" w:rsidRPr="00EE7549" w:rsidRDefault="00EE7549" w:rsidP="00EE7549">
      <w:r w:rsidRPr="00EE7549">
        <w:t xml:space="preserve">Zarząd Ośrodka Badawczo-Rozwojowego Centrum Techniki Morskiej Spółki Akcyjnej z siedzibą w Gdyni, adres: 81-109 Gdynia, ul. </w:t>
      </w:r>
      <w:proofErr w:type="spellStart"/>
      <w:r w:rsidRPr="00EE7549">
        <w:t>Dickmana</w:t>
      </w:r>
      <w:proofErr w:type="spellEnd"/>
      <w:r w:rsidRPr="00EE7549">
        <w:t xml:space="preserve"> 62, wpisanej do Rejestru Przedsiębiorców Krajowego Rejestru Sądowego prowadzonego przez Sąd Rejonowy Gdańsk-Północ w Gdańsku VIII Wydział Gospodarczy pod nr KRS 0000295769,  niniejszym zwołuje w trybie art. 402 § 1 </w:t>
      </w:r>
      <w:proofErr w:type="spellStart"/>
      <w:r w:rsidRPr="00EE7549">
        <w:t>k.s.h</w:t>
      </w:r>
      <w:proofErr w:type="spellEnd"/>
      <w:r w:rsidRPr="00EE7549">
        <w:t xml:space="preserve">. Zwyczajne Walne Zgromadzenie Akcjonariuszy Ośrodka Badawczo-Rozwojowego Centrum Techniki Morskiej Spółki Akcyjnej. Zwyczajne Walne Zgromadzenie Akcjonariuszy Spółki odbędzie się w dniu 26 czerwca 2025 roku o godzinie 13 w Warszawie przy ul. Nowy Świat 4A w biurze Polskiej Grupy Zbrojeniowej S.A. </w:t>
      </w:r>
    </w:p>
    <w:p w14:paraId="14F72A1A" w14:textId="77777777" w:rsidR="00EE7549" w:rsidRPr="00EE7549" w:rsidRDefault="00EE7549" w:rsidP="00EE7549">
      <w:r w:rsidRPr="00EE7549">
        <w:t>Porządek obrad:</w:t>
      </w:r>
    </w:p>
    <w:p w14:paraId="6916EA47" w14:textId="77777777" w:rsidR="00EE7549" w:rsidRPr="00EE7549" w:rsidRDefault="00EE7549" w:rsidP="00EE7549">
      <w:r w:rsidRPr="00EE7549">
        <w:t xml:space="preserve">Zwyczajne Walne Zgromadzenie zostaje zwołane z następującym porządkiem obrad: </w:t>
      </w:r>
    </w:p>
    <w:p w14:paraId="2F26A6E5" w14:textId="77777777" w:rsidR="00EE7549" w:rsidRPr="00EE7549" w:rsidRDefault="00EE7549" w:rsidP="00EE7549"/>
    <w:p w14:paraId="78DD77C1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Otwarcie Zwyczajnego Walnego Zgromadzenia.</w:t>
      </w:r>
    </w:p>
    <w:p w14:paraId="63481BC6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Wybór Przewodniczącego Zwyczajnego Walnego Zgromadzenia.</w:t>
      </w:r>
    </w:p>
    <w:p w14:paraId="605E7416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Stwierdzenie prawidłowości zwołania Zgromadzenia i jego zdolności do podjęcia wiążących uchwał.</w:t>
      </w:r>
    </w:p>
    <w:p w14:paraId="2298652F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Podjęcie uchwały w sprawie przyjęcia porządku obrad Zwyczajnego Walnego Zgromadzenia.</w:t>
      </w:r>
    </w:p>
    <w:p w14:paraId="4B6E72D9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Podjęcie uchwały w sprawie zmiany Statutu Spółki.</w:t>
      </w:r>
    </w:p>
    <w:p w14:paraId="6738C034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i podjęcie uchwały w sprawie zatwierdzenia sprawozdania finansowego za rok obrotowy 2024.</w:t>
      </w:r>
    </w:p>
    <w:p w14:paraId="07326EC6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i podjęcie uchwały w sprawie zatwierdzenia sprawozdania Zarządu z  działalności Spółki w roku obrotowym 2024.</w:t>
      </w:r>
    </w:p>
    <w:p w14:paraId="34D05A47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sprawozdania Zarządu z  działalności jako organu Spółki za rok obrotowy 2024.</w:t>
      </w:r>
    </w:p>
    <w:p w14:paraId="3824200C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sprawozdania Rady Nadzorczej za rok obrotowy 2024.</w:t>
      </w:r>
    </w:p>
    <w:p w14:paraId="5CEE466C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sprawozdania Zarządu o  wydatkach reprezentacyjnych, wydatkach na usług prawne, usługi marketingowe, usługi w zakresie stosunków międzyludzkich (public relations)  i komunikacji społecznej oraz usługi doradztwa związanego z  zarządzaniem za rok obrotowy 2024.</w:t>
      </w:r>
    </w:p>
    <w:p w14:paraId="3C1083D0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i podjęcie uchwały w sprawie podziału zysku za rok 2024.</w:t>
      </w:r>
    </w:p>
    <w:p w14:paraId="609D8F96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i podjęcie uchwały w sprawie udzielenia poszczególnym członkom Zarządu Spółki absolutorium z wykonywania przez nich obowiązków w roku obrotowym 2024.</w:t>
      </w:r>
    </w:p>
    <w:p w14:paraId="179A6335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lastRenderedPageBreak/>
        <w:t>Rozpatrzenie i podjęcie uchwały w sprawie udzielenia poszczególnym członkom Rady Nadzorczej absolutorium z wykonywania przez nich obowiązków w roku obrotowym 2024.</w:t>
      </w:r>
    </w:p>
    <w:p w14:paraId="18DCA972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Podjęcie uchwały w sprawie powołania Członków Rady Nadzorczej VII kadencji wybieranych przez pracowników.</w:t>
      </w:r>
    </w:p>
    <w:p w14:paraId="645D2EF0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i podjęcie uchwały w sprawie wyrażenie zgody na zmiany w zakresie realizacji inwestycji w ramach projektu pn. „Rozbudowa Parku Technologicznego OBR CTM S.A.”</w:t>
      </w:r>
    </w:p>
    <w:p w14:paraId="65DE93B0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Rozpatrzenie i podjęcie uchwały w sprawie przyjęcia aktualizacji Strategii Spółki OBR CTM S.A. na lata 2024-2028.</w:t>
      </w:r>
    </w:p>
    <w:p w14:paraId="26D4B35C" w14:textId="77777777" w:rsidR="00EE7549" w:rsidRPr="00EE7549" w:rsidRDefault="00EE7549" w:rsidP="00EE7549">
      <w:pPr>
        <w:numPr>
          <w:ilvl w:val="0"/>
          <w:numId w:val="1"/>
        </w:numPr>
      </w:pPr>
      <w:r w:rsidRPr="00EE7549">
        <w:t>Zamknięcie Zgromadzenia.</w:t>
      </w:r>
    </w:p>
    <w:p w14:paraId="48F1A3E4" w14:textId="77777777" w:rsidR="00EE7549" w:rsidRPr="00EE7549" w:rsidRDefault="00EE7549" w:rsidP="00EE7549"/>
    <w:p w14:paraId="79294900" w14:textId="77777777" w:rsidR="00EE7549" w:rsidRPr="00EE7549" w:rsidRDefault="00EE7549" w:rsidP="00EE7549"/>
    <w:p w14:paraId="3FE289C6" w14:textId="77777777" w:rsidR="00EE7549" w:rsidRPr="00EE7549" w:rsidRDefault="00EE7549" w:rsidP="00EE7549">
      <w:r w:rsidRPr="00EE7549">
        <w:t xml:space="preserve">Uchwała o zmianie Statutu określona w pkt 5 powyższego porządku obrad dotyczy następujących zmian: </w:t>
      </w:r>
    </w:p>
    <w:p w14:paraId="70CC45AC" w14:textId="77777777" w:rsidR="00EE7549" w:rsidRPr="00EE7549" w:rsidRDefault="00EE7549" w:rsidP="00EE7549">
      <w:r w:rsidRPr="00EE7549">
        <w:t>1. zmiany § 32 ust. 8 Statutu, o treści:</w:t>
      </w:r>
    </w:p>
    <w:p w14:paraId="6799C208" w14:textId="77777777" w:rsidR="00EE7549" w:rsidRPr="00EE7549" w:rsidRDefault="00EE7549" w:rsidP="00EE7549">
      <w:r w:rsidRPr="00EE7549">
        <w:t>„Wymóg posiadania pozytywnej opinii Rady do spraw spółek z udziałem Skarbu Państwa i państwowych osób prawnych, wymóg spełnienia przesłanek określonych w § 32 ust. 7 pkt 1, 2 i 7 a)-j) oraz zakaz pozostawania w stosunku pracy, o którym mowa w § 32 ust. 7 pkt 3 nie dotyczy osób wybranych do organu nadzorczego przez pracowników.”;</w:t>
      </w:r>
    </w:p>
    <w:p w14:paraId="10B59223" w14:textId="77777777" w:rsidR="00EE7549" w:rsidRPr="00EE7549" w:rsidRDefault="00EE7549" w:rsidP="00EE7549">
      <w:r w:rsidRPr="00EE7549">
        <w:t>poprzez nadanie mu następującej treści:</w:t>
      </w:r>
    </w:p>
    <w:p w14:paraId="20B40B67" w14:textId="77777777" w:rsidR="00EE7549" w:rsidRPr="00EE7549" w:rsidRDefault="00EE7549" w:rsidP="00EE7549">
      <w:r w:rsidRPr="00EE7549">
        <w:t>„Wymóg posiadania pozytywnej opinii Rady do spraw spółek z udziałem Skarbu Państwa i państwowych osób prawnych, wymóg spełnienia przesłanek określonych w § 32 ust. 7 pkt 1, 2 i 7 oraz zakaz pozostawania w stosunku pracy, o którym mowa w § 32 ust. 7 pkt 3 nie dotyczy osób wybranych do organu nadzorczego przez pracowników.”</w:t>
      </w:r>
    </w:p>
    <w:p w14:paraId="36263B38" w14:textId="77777777" w:rsidR="00EE7549" w:rsidRPr="00EE7549" w:rsidRDefault="00EE7549" w:rsidP="00EE7549">
      <w:r w:rsidRPr="00EE7549">
        <w:t>2. zmiany § 6 ust. 3 i 5 Statutu, o treści:</w:t>
      </w:r>
    </w:p>
    <w:p w14:paraId="73BAB426" w14:textId="77777777" w:rsidR="00EE7549" w:rsidRPr="00EE7549" w:rsidRDefault="00EE7549" w:rsidP="00EE7549">
      <w:r w:rsidRPr="00EE7549">
        <w:t>„3. Celem Spółki jest prowadzenie działalności ukierunkowanej na realizację Interesu Grupy PGZ, determinowanego przez rolę Grupy PGZ wskazaną w Kodeksie Grupy PGZ oraz misją, wizją, celami oraz innymi zasadami wynikającymi z obowiązującej Strategii Grupy PGZ, jak również pełnienie funkcji zaplecza badawczo-rozwojowego Grupy PGZ.</w:t>
      </w:r>
    </w:p>
    <w:p w14:paraId="5C9E09B8" w14:textId="77777777" w:rsidR="00EE7549" w:rsidRPr="00EE7549" w:rsidRDefault="00EE7549" w:rsidP="00EE7549">
      <w:r w:rsidRPr="00EE7549">
        <w:t xml:space="preserve">5. Spółka prowadzi działalność gospodarczą o charakterze zarobkowym lub mającym inny cel gospodarczy zgodny ze strategią Grupy PGZ oraz Standardami Organizacyjnymi Grupy PGZ. Innym celem gospodarczym w rozumieniu zdania poprzedniego w szczególności jest </w:t>
      </w:r>
      <w:r w:rsidRPr="00EE7549">
        <w:lastRenderedPageBreak/>
        <w:t>opracowywanie i rozwój rozwiązań technicznych, mających potencjał komercyjny na rynkach, na których funkcjonują spółki z Grupy PGZ.”</w:t>
      </w:r>
    </w:p>
    <w:p w14:paraId="35E7B1AF" w14:textId="77777777" w:rsidR="00EE7549" w:rsidRPr="00EE7549" w:rsidRDefault="00EE7549" w:rsidP="00EE7549"/>
    <w:p w14:paraId="14985840" w14:textId="77777777" w:rsidR="00EE7549" w:rsidRPr="00EE7549" w:rsidRDefault="00EE7549" w:rsidP="00EE7549">
      <w:r w:rsidRPr="00EE7549">
        <w:t>Zarząd informuje, że prawo do uczestnictwa w Zwyczajnym Walnym Zgromadzeniu (dalej ZWZ”) Spółki przysługuje właścicielom akcji imiennych, wpisanych do Elektronicznego Rejestru Akcjonariuszy, co najmniej na tydzień przed odbyciem ZWZ.</w:t>
      </w:r>
    </w:p>
    <w:p w14:paraId="349DAB5D" w14:textId="337E4247" w:rsidR="00EE7549" w:rsidRPr="00EE7549" w:rsidRDefault="00EE7549" w:rsidP="00EE7549">
      <w:r w:rsidRPr="00EE7549">
        <w:t xml:space="preserve">Lista akcjonariuszy uprawnionych do uczestnictwa w Zwyczajnym Walnym Zgromadzeniu, podpisana przez zarząd, zawierająca nazwiska i imiona albo firmy (nazwy) uprawnionych, ich miejsce zamieszkania (siedzibę), liczbę, rodzaj i numery akcji oraz liczbę przysługujących im głosów, zostanie wyłożona w lokalu w siedzibie Spółki w Gdyni przy ul. </w:t>
      </w:r>
      <w:proofErr w:type="spellStart"/>
      <w:r w:rsidRPr="00EE7549">
        <w:t>Dickmana</w:t>
      </w:r>
      <w:proofErr w:type="spellEnd"/>
      <w:r w:rsidRPr="00EE7549">
        <w:t xml:space="preserve"> 62 (Biuro Zarządu, pom. 158), przez trzy dni powszednie przed jego odbyciem</w:t>
      </w:r>
    </w:p>
    <w:sectPr w:rsidR="00EE7549" w:rsidRPr="00EE7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B14D2"/>
    <w:multiLevelType w:val="hybridMultilevel"/>
    <w:tmpl w:val="EB62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89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49"/>
    <w:rsid w:val="00EE7549"/>
    <w:rsid w:val="00F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E077"/>
  <w15:chartTrackingRefBased/>
  <w15:docId w15:val="{02EAE544-999B-4F92-97D7-5A74441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7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7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7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7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7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7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7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7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75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5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75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75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75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75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7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7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7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75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75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75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7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75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7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Rzepnikowski Szymon</dc:creator>
  <cp:keywords/>
  <dc:description/>
  <cp:lastModifiedBy>Rzepnikowski Szymon</cp:lastModifiedBy>
  <cp:revision>1</cp:revision>
  <dcterms:created xsi:type="dcterms:W3CDTF">2025-05-26T07:33:00Z</dcterms:created>
  <dcterms:modified xsi:type="dcterms:W3CDTF">2025-05-26T07:34:00Z</dcterms:modified>
</cp:coreProperties>
</file>